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4451D" w14:textId="2B4560E5" w:rsidR="0074347D" w:rsidRPr="00D5617E" w:rsidRDefault="0074347D" w:rsidP="00D5617E">
      <w:pPr>
        <w:pStyle w:val="Header"/>
        <w:tabs>
          <w:tab w:val="clear" w:pos="4513"/>
          <w:tab w:val="clear" w:pos="9026"/>
          <w:tab w:val="left" w:pos="3580"/>
        </w:tabs>
        <w:spacing w:line="360" w:lineRule="auto"/>
        <w:rPr>
          <w:rFonts w:ascii="Garamond" w:hAnsi="Garamond" w:cs="Times New Roman"/>
        </w:rPr>
      </w:pPr>
      <w:bookmarkStart w:id="0" w:name="_Hlk189682875"/>
      <w:r>
        <w:rPr>
          <w:noProof/>
        </w:rPr>
        <w:drawing>
          <wp:anchor distT="0" distB="0" distL="114300" distR="114300" simplePos="0" relativeHeight="251658240" behindDoc="1" locked="0" layoutInCell="1" allowOverlap="1" wp14:anchorId="0CBB8538" wp14:editId="27F2DE42">
            <wp:simplePos x="0" y="0"/>
            <wp:positionH relativeFrom="column">
              <wp:posOffset>-895350</wp:posOffset>
            </wp:positionH>
            <wp:positionV relativeFrom="paragraph">
              <wp:posOffset>-1130300</wp:posOffset>
            </wp:positionV>
            <wp:extent cx="7505700" cy="12287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05700"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8567EA" w14:textId="54011D30" w:rsidR="00FF634D" w:rsidRDefault="00FF634D" w:rsidP="00D5617E">
      <w:pPr>
        <w:pStyle w:val="Header"/>
        <w:jc w:val="center"/>
        <w:rPr>
          <w:rFonts w:ascii="Garamond" w:hAnsi="Garamond" w:cs="Times New Roman"/>
          <w:b/>
          <w:sz w:val="28"/>
          <w:szCs w:val="28"/>
        </w:rPr>
      </w:pPr>
      <w:r w:rsidRPr="00FF634D">
        <w:rPr>
          <w:rFonts w:ascii="Garamond" w:hAnsi="Garamond" w:cs="Times New Roman"/>
          <w:b/>
          <w:sz w:val="28"/>
          <w:szCs w:val="28"/>
        </w:rPr>
        <w:t xml:space="preserve">Sejarah Perkembangan Budaya Melayu </w:t>
      </w:r>
      <w:r w:rsidR="00857290">
        <w:rPr>
          <w:rFonts w:ascii="Garamond" w:hAnsi="Garamond" w:cs="Times New Roman"/>
          <w:b/>
          <w:sz w:val="28"/>
          <w:szCs w:val="28"/>
        </w:rPr>
        <w:t>d</w:t>
      </w:r>
      <w:r w:rsidRPr="00FF634D">
        <w:rPr>
          <w:rFonts w:ascii="Garamond" w:hAnsi="Garamond" w:cs="Times New Roman"/>
          <w:b/>
          <w:sz w:val="28"/>
          <w:szCs w:val="28"/>
        </w:rPr>
        <w:t>i Indragiri Hilir</w:t>
      </w:r>
    </w:p>
    <w:p w14:paraId="182E26F1"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Muhammad Randy Hidayat</w:t>
      </w:r>
    </w:p>
    <w:p w14:paraId="3D98BA73"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Universitas Islam Indragiri</w:t>
      </w:r>
    </w:p>
    <w:p w14:paraId="2735B1E2"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pasukangaya@gmail.com</w:t>
      </w:r>
    </w:p>
    <w:p w14:paraId="51F5F85A"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Wendy Sri Agustina</w:t>
      </w:r>
    </w:p>
    <w:p w14:paraId="644578F3"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Universitas Islam Indragiri</w:t>
      </w:r>
    </w:p>
    <w:p w14:paraId="583DDD77" w14:textId="4DDB792B" w:rsidR="00FF634D" w:rsidRPr="00FF634D" w:rsidRDefault="00FF634D" w:rsidP="00FF634D">
      <w:pPr>
        <w:pStyle w:val="Header"/>
        <w:jc w:val="center"/>
        <w:rPr>
          <w:rFonts w:ascii="Garamond" w:hAnsi="Garamond" w:cs="Times New Roman"/>
          <w:sz w:val="24"/>
          <w:szCs w:val="24"/>
        </w:rPr>
      </w:pPr>
      <w:r>
        <w:rPr>
          <w:rFonts w:ascii="Garamond" w:hAnsi="Garamond" w:cs="Times New Roman"/>
          <w:sz w:val="24"/>
          <w:szCs w:val="24"/>
        </w:rPr>
        <w:t>w</w:t>
      </w:r>
      <w:r w:rsidRPr="00FF634D">
        <w:rPr>
          <w:rFonts w:ascii="Garamond" w:hAnsi="Garamond" w:cs="Times New Roman"/>
          <w:sz w:val="24"/>
          <w:szCs w:val="24"/>
        </w:rPr>
        <w:t>indi202021@gmail.com</w:t>
      </w:r>
    </w:p>
    <w:p w14:paraId="5865FA3E"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Nurhidayah</w:t>
      </w:r>
    </w:p>
    <w:p w14:paraId="5B3DF876" w14:textId="77777777" w:rsidR="00FF634D" w:rsidRPr="00FF634D"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Universitas Islam Indragiri</w:t>
      </w:r>
    </w:p>
    <w:p w14:paraId="52D944BB" w14:textId="73719BD5" w:rsidR="0074347D" w:rsidRPr="00D5617E" w:rsidRDefault="00FF634D" w:rsidP="00FF634D">
      <w:pPr>
        <w:pStyle w:val="Header"/>
        <w:jc w:val="center"/>
        <w:rPr>
          <w:rFonts w:ascii="Garamond" w:hAnsi="Garamond" w:cs="Times New Roman"/>
          <w:sz w:val="24"/>
          <w:szCs w:val="24"/>
        </w:rPr>
      </w:pPr>
      <w:r w:rsidRPr="00FF634D">
        <w:rPr>
          <w:rFonts w:ascii="Garamond" w:hAnsi="Garamond" w:cs="Times New Roman"/>
          <w:sz w:val="24"/>
          <w:szCs w:val="24"/>
        </w:rPr>
        <w:t>nurhidayah475000@gmail.com</w:t>
      </w:r>
    </w:p>
    <w:tbl>
      <w:tblPr>
        <w:tblStyle w:val="TableGrid"/>
        <w:tblpPr w:leftFromText="180" w:rightFromText="180" w:vertAnchor="page" w:horzAnchor="margin" w:tblpY="5086"/>
        <w:tblW w:w="0" w:type="auto"/>
        <w:tblLook w:val="04A0" w:firstRow="1" w:lastRow="0" w:firstColumn="1" w:lastColumn="0" w:noHBand="0" w:noVBand="1"/>
      </w:tblPr>
      <w:tblGrid>
        <w:gridCol w:w="3055"/>
        <w:gridCol w:w="2970"/>
        <w:gridCol w:w="2991"/>
      </w:tblGrid>
      <w:tr w:rsidR="00857290" w:rsidRPr="00707655" w14:paraId="0720B663" w14:textId="77777777" w:rsidTr="00857290">
        <w:tc>
          <w:tcPr>
            <w:tcW w:w="3055" w:type="dxa"/>
          </w:tcPr>
          <w:p w14:paraId="4E5C0FE6" w14:textId="31753274" w:rsidR="00857290" w:rsidRPr="00707655" w:rsidRDefault="00857290" w:rsidP="00FF634D">
            <w:pPr>
              <w:pStyle w:val="Header"/>
              <w:tabs>
                <w:tab w:val="clear" w:pos="4513"/>
                <w:tab w:val="clear" w:pos="9026"/>
                <w:tab w:val="left" w:pos="3580"/>
              </w:tabs>
              <w:jc w:val="center"/>
              <w:rPr>
                <w:rFonts w:ascii="Garamond" w:hAnsi="Garamond" w:cs="Times New Roman"/>
              </w:rPr>
            </w:pPr>
            <w:r w:rsidRPr="00707655">
              <w:rPr>
                <w:rFonts w:ascii="Garamond" w:hAnsi="Garamond" w:cs="Times New Roman"/>
              </w:rPr>
              <w:t>Naskah Masuk</w:t>
            </w:r>
          </w:p>
        </w:tc>
        <w:tc>
          <w:tcPr>
            <w:tcW w:w="2970" w:type="dxa"/>
          </w:tcPr>
          <w:p w14:paraId="3CDACD29" w14:textId="77777777" w:rsidR="00857290" w:rsidRPr="00707655" w:rsidRDefault="00857290" w:rsidP="00FF634D">
            <w:pPr>
              <w:pStyle w:val="Header"/>
              <w:tabs>
                <w:tab w:val="clear" w:pos="4513"/>
                <w:tab w:val="clear" w:pos="9026"/>
                <w:tab w:val="left" w:pos="3580"/>
              </w:tabs>
              <w:jc w:val="center"/>
              <w:rPr>
                <w:rFonts w:ascii="Garamond" w:hAnsi="Garamond" w:cs="Times New Roman"/>
              </w:rPr>
            </w:pPr>
            <w:r w:rsidRPr="00707655">
              <w:rPr>
                <w:rFonts w:ascii="Garamond" w:hAnsi="Garamond" w:cs="Times New Roman"/>
              </w:rPr>
              <w:t>Direvis</w:t>
            </w:r>
          </w:p>
        </w:tc>
        <w:tc>
          <w:tcPr>
            <w:tcW w:w="2991" w:type="dxa"/>
          </w:tcPr>
          <w:p w14:paraId="30FD793C" w14:textId="77777777" w:rsidR="00857290" w:rsidRPr="00707655" w:rsidRDefault="00857290" w:rsidP="00FF634D">
            <w:pPr>
              <w:pStyle w:val="Header"/>
              <w:tabs>
                <w:tab w:val="clear" w:pos="4513"/>
                <w:tab w:val="clear" w:pos="9026"/>
                <w:tab w:val="left" w:pos="3580"/>
              </w:tabs>
              <w:jc w:val="center"/>
              <w:rPr>
                <w:rFonts w:ascii="Garamond" w:hAnsi="Garamond" w:cs="Times New Roman"/>
              </w:rPr>
            </w:pPr>
            <w:r w:rsidRPr="00707655">
              <w:rPr>
                <w:rFonts w:ascii="Garamond" w:hAnsi="Garamond" w:cs="Times New Roman"/>
              </w:rPr>
              <w:t>Diterbitkan</w:t>
            </w:r>
          </w:p>
        </w:tc>
      </w:tr>
      <w:tr w:rsidR="00857290" w:rsidRPr="00707655" w14:paraId="08277CB3" w14:textId="77777777" w:rsidTr="00857290">
        <w:tc>
          <w:tcPr>
            <w:tcW w:w="3055" w:type="dxa"/>
            <w:tcBorders>
              <w:bottom w:val="single" w:sz="4" w:space="0" w:color="auto"/>
            </w:tcBorders>
          </w:tcPr>
          <w:p w14:paraId="1295B655" w14:textId="25846AA6" w:rsidR="00857290" w:rsidRPr="00707655" w:rsidRDefault="00857290" w:rsidP="00857290">
            <w:pPr>
              <w:pStyle w:val="Header"/>
              <w:tabs>
                <w:tab w:val="clear" w:pos="4513"/>
                <w:tab w:val="clear" w:pos="9026"/>
                <w:tab w:val="left" w:pos="3580"/>
              </w:tabs>
              <w:jc w:val="center"/>
              <w:rPr>
                <w:rFonts w:ascii="Garamond" w:hAnsi="Garamond" w:cs="Times New Roman"/>
              </w:rPr>
            </w:pPr>
            <w:r>
              <w:rPr>
                <w:rFonts w:ascii="Garamond" w:hAnsi="Garamond" w:cs="Times New Roman"/>
              </w:rPr>
              <w:t>09-01-2026</w:t>
            </w:r>
          </w:p>
        </w:tc>
        <w:tc>
          <w:tcPr>
            <w:tcW w:w="2970" w:type="dxa"/>
            <w:tcBorders>
              <w:bottom w:val="single" w:sz="4" w:space="0" w:color="auto"/>
            </w:tcBorders>
          </w:tcPr>
          <w:p w14:paraId="14808691" w14:textId="24708D33" w:rsidR="00857290" w:rsidRPr="00707655" w:rsidRDefault="00857290" w:rsidP="00857290">
            <w:pPr>
              <w:pStyle w:val="Header"/>
              <w:tabs>
                <w:tab w:val="clear" w:pos="4513"/>
                <w:tab w:val="clear" w:pos="9026"/>
                <w:tab w:val="left" w:pos="3580"/>
              </w:tabs>
              <w:jc w:val="center"/>
              <w:rPr>
                <w:rFonts w:ascii="Garamond" w:hAnsi="Garamond" w:cs="Times New Roman"/>
              </w:rPr>
            </w:pPr>
            <w:r>
              <w:rPr>
                <w:rFonts w:ascii="Garamond" w:hAnsi="Garamond" w:cs="Times New Roman"/>
              </w:rPr>
              <w:t>19-01-2026</w:t>
            </w:r>
          </w:p>
        </w:tc>
        <w:tc>
          <w:tcPr>
            <w:tcW w:w="2991" w:type="dxa"/>
            <w:tcBorders>
              <w:bottom w:val="single" w:sz="4" w:space="0" w:color="auto"/>
            </w:tcBorders>
          </w:tcPr>
          <w:p w14:paraId="21B7182F" w14:textId="0006A4C2" w:rsidR="00857290" w:rsidRPr="00707655" w:rsidRDefault="00857290" w:rsidP="00857290">
            <w:pPr>
              <w:pStyle w:val="Header"/>
              <w:tabs>
                <w:tab w:val="clear" w:pos="4513"/>
                <w:tab w:val="clear" w:pos="9026"/>
                <w:tab w:val="left" w:pos="3580"/>
              </w:tabs>
              <w:jc w:val="center"/>
              <w:rPr>
                <w:rFonts w:ascii="Garamond" w:hAnsi="Garamond" w:cs="Times New Roman"/>
              </w:rPr>
            </w:pPr>
            <w:r>
              <w:rPr>
                <w:rFonts w:ascii="Garamond" w:hAnsi="Garamond" w:cs="Times New Roman"/>
              </w:rPr>
              <w:t>01-02-2026</w:t>
            </w:r>
          </w:p>
        </w:tc>
      </w:tr>
    </w:tbl>
    <w:p w14:paraId="3439650F" w14:textId="77777777" w:rsidR="00D5617E" w:rsidRDefault="00D5617E" w:rsidP="00D5617E">
      <w:pPr>
        <w:pStyle w:val="Header"/>
        <w:spacing w:line="360" w:lineRule="auto"/>
        <w:rPr>
          <w:rFonts w:ascii="Garamond" w:hAnsi="Garamond" w:cs="Times New Roman"/>
          <w:b/>
          <w:sz w:val="24"/>
          <w:szCs w:val="24"/>
        </w:rPr>
      </w:pPr>
    </w:p>
    <w:p w14:paraId="742EA275" w14:textId="77C449D3" w:rsidR="0074347D" w:rsidRPr="00707655" w:rsidRDefault="0074347D" w:rsidP="00857290">
      <w:pPr>
        <w:pStyle w:val="Header"/>
        <w:rPr>
          <w:rFonts w:ascii="Garamond" w:hAnsi="Garamond" w:cs="Times New Roman"/>
          <w:b/>
          <w:sz w:val="24"/>
          <w:szCs w:val="24"/>
        </w:rPr>
      </w:pPr>
      <w:r w:rsidRPr="00707655">
        <w:rPr>
          <w:rFonts w:ascii="Garamond" w:hAnsi="Garamond" w:cs="Times New Roman"/>
          <w:b/>
          <w:sz w:val="24"/>
          <w:szCs w:val="24"/>
        </w:rPr>
        <w:t xml:space="preserve">ABSTRACT </w:t>
      </w:r>
    </w:p>
    <w:p w14:paraId="52F1599E" w14:textId="77777777" w:rsidR="00FF634D" w:rsidRPr="00857290" w:rsidRDefault="00FF634D" w:rsidP="00857290">
      <w:pPr>
        <w:pStyle w:val="Header"/>
        <w:jc w:val="both"/>
        <w:rPr>
          <w:rFonts w:ascii="Garamond" w:eastAsia="Times New Roman" w:hAnsi="Garamond" w:cs="Arial"/>
          <w:iCs/>
          <w:sz w:val="24"/>
          <w:szCs w:val="24"/>
          <w:lang w:val="en-US"/>
        </w:rPr>
      </w:pPr>
      <w:r w:rsidRPr="00857290">
        <w:rPr>
          <w:rFonts w:ascii="Garamond" w:eastAsia="Times New Roman" w:hAnsi="Garamond" w:cs="Arial"/>
          <w:iCs/>
          <w:sz w:val="24"/>
          <w:szCs w:val="24"/>
          <w:lang w:val="en-US"/>
        </w:rPr>
        <w:t>This study aims to comprehensively trace the historical development of Malay culture in Indragiri Hilir Regency, spanning from the Hindu-Buddhist kingdom era, the Islamization period, the Dutch colonial period, to the regional autonomy era. The research method employed is qualitative research with a historical approach and content analysis of primary and secondary historical sources, including ancient manuscripts, colonial archives, and interviews with traditional leaders. The findings indicate that Malay culture in Indragiri Hilir underwent a dynamic process of acculturation, where Hindu-Buddhist, Islamic, and Western influences interacted to form a unique cultural identity. Cultural transformation occurred not only in religious and governmental aspects but also in language, literature, arts, and architecture. However, amidst the currents of modernization and globalization, Malay culture faces preservation challenges that require an integrative strategy involving the government, academics, and community stakeholders. This research is expected to serve as an academic reference for the study of Malay cultural history while providing policy recommendations for culture preservation based on local wisdom.</w:t>
      </w:r>
    </w:p>
    <w:p w14:paraId="192DF5F4" w14:textId="17319200" w:rsidR="0074347D" w:rsidRPr="00857290" w:rsidRDefault="00FF634D" w:rsidP="00FF634D">
      <w:pPr>
        <w:pStyle w:val="Header"/>
        <w:jc w:val="both"/>
        <w:rPr>
          <w:rFonts w:ascii="Garamond" w:eastAsia="Times New Roman" w:hAnsi="Garamond" w:cs="Arial"/>
          <w:iCs/>
          <w:sz w:val="24"/>
          <w:szCs w:val="24"/>
          <w:lang w:val="en-US"/>
        </w:rPr>
      </w:pPr>
      <w:r w:rsidRPr="00857290">
        <w:rPr>
          <w:rFonts w:ascii="Garamond" w:eastAsia="Times New Roman" w:hAnsi="Garamond" w:cs="Arial"/>
          <w:b/>
          <w:iCs/>
          <w:sz w:val="24"/>
          <w:szCs w:val="24"/>
          <w:lang w:val="en-US"/>
        </w:rPr>
        <w:t>Keywords:</w:t>
      </w:r>
      <w:r w:rsidRPr="00857290">
        <w:rPr>
          <w:rFonts w:ascii="Garamond" w:eastAsia="Times New Roman" w:hAnsi="Garamond" w:cs="Arial"/>
          <w:iCs/>
          <w:sz w:val="24"/>
          <w:szCs w:val="24"/>
          <w:lang w:val="en-US"/>
        </w:rPr>
        <w:t xml:space="preserve"> Cultural history, Malay Indragiri Hilir, cultural acculturation, cultural preservation, local identity.</w:t>
      </w:r>
    </w:p>
    <w:p w14:paraId="63BACD6F" w14:textId="77777777" w:rsidR="00FF634D" w:rsidRPr="00707655" w:rsidRDefault="00FF634D" w:rsidP="00FF634D">
      <w:pPr>
        <w:pStyle w:val="Header"/>
        <w:jc w:val="both"/>
        <w:rPr>
          <w:rFonts w:ascii="Garamond" w:hAnsi="Garamond" w:cs="Times New Roman"/>
          <w:b/>
          <w:sz w:val="24"/>
          <w:szCs w:val="24"/>
        </w:rPr>
      </w:pPr>
    </w:p>
    <w:p w14:paraId="1341559B" w14:textId="40511060" w:rsidR="0074347D" w:rsidRPr="00707655" w:rsidRDefault="0074347D" w:rsidP="00D5617E">
      <w:pPr>
        <w:pStyle w:val="Header"/>
        <w:rPr>
          <w:rFonts w:ascii="Garamond" w:hAnsi="Garamond" w:cs="Times New Roman"/>
          <w:b/>
          <w:sz w:val="24"/>
          <w:szCs w:val="24"/>
        </w:rPr>
      </w:pPr>
      <w:r w:rsidRPr="00707655">
        <w:rPr>
          <w:rFonts w:ascii="Garamond" w:hAnsi="Garamond" w:cs="Times New Roman"/>
          <w:b/>
          <w:sz w:val="24"/>
          <w:szCs w:val="24"/>
        </w:rPr>
        <w:t xml:space="preserve">ABSTRAK </w:t>
      </w:r>
    </w:p>
    <w:p w14:paraId="554D33F5" w14:textId="77777777" w:rsidR="00FF634D" w:rsidRPr="00FF634D" w:rsidRDefault="00FF634D" w:rsidP="00FF634D">
      <w:pPr>
        <w:spacing w:after="0" w:line="240" w:lineRule="auto"/>
        <w:jc w:val="both"/>
        <w:rPr>
          <w:rFonts w:ascii="Garamond" w:eastAsia="Times New Roman" w:hAnsi="Garamond" w:cs="Arial"/>
          <w:iCs/>
          <w:sz w:val="24"/>
          <w:szCs w:val="24"/>
          <w:lang w:val="id-ID"/>
        </w:rPr>
      </w:pPr>
      <w:r w:rsidRPr="00FF634D">
        <w:rPr>
          <w:rFonts w:ascii="Garamond" w:eastAsia="Times New Roman" w:hAnsi="Garamond" w:cs="Arial"/>
          <w:iCs/>
          <w:sz w:val="24"/>
          <w:szCs w:val="24"/>
          <w:lang w:val="id-ID"/>
        </w:rPr>
        <w:t>Penelitian ini bertujuan untuk menelusuri sejarah perkembangan budaya Melayu di Kabupaten Indragiri Hilir secara komprehensif, mulai dari era kerajaan Hindu-Buddha, masa Islamisasi, periode kolonial Belanda, hingga era otonomi daerah. Metode penelitian yang digunakan adalah penelitian kualitatif dengan pendekatan historis dan analisis konten terhadap sumber-sumber sejarah primer dan sekunder, termasuk naskah kuno, arsip kolonial, dan wawancara dengan tokoh adat. Hasil penelitian menunjukkan bahwa budaya Melayu di Indragiri Hilir mengalami proses akulturasi yang dinamis, di mana pengaruh Hindu-Buddha, Islam, dan Barat saling berinteraksi membentuk identitas budaya yang unik. Transformasi budaya terjadi tidak hanya dalam aspek keagamaan dan pemerintahan, tetapi juga dalam bahasa, sastra, seni, dan arsitektur. Namun, di tengah arus modernisasi dan globalisasi, budaya Melayu menghadapi tantangan pelestarian yang memerlukan strategi integratif antara pemerintah, akademisi, dan komunitas adat. Penelitian ini diharapkan dapat menjadi referensi akademik bagi pengkajian sejarah budaya Melayu sekaligus memberikan rekomendasi kebijakan untuk pelestarian budaya berbasis kearifan lokal.</w:t>
      </w:r>
    </w:p>
    <w:p w14:paraId="69C1F1CB" w14:textId="0DCF16B9" w:rsidR="0074347D" w:rsidRPr="00707655" w:rsidRDefault="00FF634D" w:rsidP="00857290">
      <w:pPr>
        <w:spacing w:after="0" w:line="240" w:lineRule="auto"/>
        <w:jc w:val="both"/>
        <w:rPr>
          <w:rFonts w:ascii="Garamond" w:hAnsi="Garamond" w:cs="Times New Roman"/>
          <w:b/>
          <w:sz w:val="24"/>
          <w:szCs w:val="24"/>
        </w:rPr>
      </w:pPr>
      <w:r w:rsidRPr="00FF634D">
        <w:rPr>
          <w:rFonts w:ascii="Garamond" w:eastAsia="Times New Roman" w:hAnsi="Garamond" w:cs="Arial"/>
          <w:b/>
          <w:iCs/>
          <w:sz w:val="24"/>
          <w:szCs w:val="24"/>
          <w:lang w:val="id-ID"/>
        </w:rPr>
        <w:t>Kata kunci:</w:t>
      </w:r>
      <w:r w:rsidRPr="00FF634D">
        <w:rPr>
          <w:rFonts w:ascii="Garamond" w:eastAsia="Times New Roman" w:hAnsi="Garamond" w:cs="Arial"/>
          <w:iCs/>
          <w:sz w:val="24"/>
          <w:szCs w:val="24"/>
          <w:lang w:val="id-ID"/>
        </w:rPr>
        <w:t xml:space="preserve"> Sejarah Budaya, Melayu Indragiri Hilir, Akulturasi Budaya, Pelestarian Budaya, Identitas Lokal.</w:t>
      </w:r>
    </w:p>
    <w:p w14:paraId="47F1B627" w14:textId="77777777" w:rsidR="00FF634D" w:rsidRDefault="00FF634D" w:rsidP="00D5617E">
      <w:pPr>
        <w:spacing w:after="0" w:line="240" w:lineRule="auto"/>
        <w:rPr>
          <w:rFonts w:ascii="Garamond" w:hAnsi="Garamond" w:cs="Times New Roman"/>
          <w:b/>
          <w:sz w:val="24"/>
          <w:szCs w:val="24"/>
        </w:rPr>
      </w:pPr>
    </w:p>
    <w:p w14:paraId="5065E35E" w14:textId="1EE5D927"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lastRenderedPageBreak/>
        <w:t xml:space="preserve">PENDAHULUAN </w:t>
      </w:r>
    </w:p>
    <w:p w14:paraId="279AC098" w14:textId="77777777" w:rsidR="00FF634D" w:rsidRPr="001F211E" w:rsidRDefault="00FF634D" w:rsidP="00FF634D">
      <w:pPr>
        <w:spacing w:after="0" w:line="360" w:lineRule="auto"/>
        <w:ind w:firstLine="720"/>
        <w:jc w:val="both"/>
        <w:rPr>
          <w:rFonts w:ascii="Garamond" w:hAnsi="Garamond" w:cstheme="majorBidi"/>
          <w:bCs/>
          <w:sz w:val="24"/>
          <w:szCs w:val="24"/>
        </w:rPr>
      </w:pPr>
      <w:r w:rsidRPr="001F211E">
        <w:rPr>
          <w:rFonts w:ascii="Garamond" w:hAnsi="Garamond" w:cstheme="majorBidi"/>
          <w:bCs/>
          <w:sz w:val="24"/>
          <w:szCs w:val="24"/>
        </w:rPr>
        <w:t>Budaya melayu merupakan salah satu entitas kebudayaan tertua dan terpenting di nusantara, yang telah memberikan pengaruh signifikan terhadap perkembangan peradaban di wilayah asia tenggara, khususnya di kawasan selat malaka</w:t>
      </w:r>
      <w:r w:rsidRPr="001F211E">
        <w:rPr>
          <w:rStyle w:val="FootnoteReference"/>
          <w:rFonts w:ascii="Garamond" w:hAnsi="Garamond" w:cstheme="majorBidi"/>
          <w:bCs/>
          <w:sz w:val="24"/>
          <w:szCs w:val="24"/>
        </w:rPr>
        <w:footnoteReference w:id="1"/>
      </w:r>
      <w:r w:rsidRPr="001F211E">
        <w:rPr>
          <w:rFonts w:ascii="Garamond" w:hAnsi="Garamond" w:cstheme="majorBidi"/>
          <w:bCs/>
          <w:sz w:val="24"/>
          <w:szCs w:val="24"/>
        </w:rPr>
        <w:t>. Di indonesia, budaya melayu tidak hanya melekat sebagai identitas etnis, tetapi juga sebagai fondasi sosial-budaya bagi masyarakat di berbagai wilayah, termasuk provinsi riau. Salah satu daerah yang memiliki akar budaya melayu yang kuat adalah kabupaten indragiri hilir (inhil), yang terletak di pesisir timur sumatra. Sebagai wilayah yang secara historis menjadi pusat pemerintahan kerajaan indragiri, daerah ini menyimpan kekayaan warisan budaya yang sangat bernilai, baik berupa artefak fisik maupun warisan takbenda seperti bahasa, sastra, adat istiadat, dan seni pertunjukan</w:t>
      </w:r>
      <w:r w:rsidRPr="001F211E">
        <w:rPr>
          <w:rStyle w:val="FootnoteReference"/>
          <w:rFonts w:ascii="Garamond" w:hAnsi="Garamond" w:cstheme="majorBidi"/>
          <w:bCs/>
          <w:sz w:val="24"/>
          <w:szCs w:val="24"/>
        </w:rPr>
        <w:footnoteReference w:id="2"/>
      </w:r>
      <w:r w:rsidRPr="001F211E">
        <w:rPr>
          <w:rFonts w:ascii="Garamond" w:hAnsi="Garamond" w:cstheme="majorBidi"/>
          <w:bCs/>
          <w:sz w:val="24"/>
          <w:szCs w:val="24"/>
        </w:rPr>
        <w:t>.</w:t>
      </w:r>
    </w:p>
    <w:p w14:paraId="76DB5B49" w14:textId="77777777" w:rsidR="00FF634D" w:rsidRPr="001F211E" w:rsidRDefault="00FF634D" w:rsidP="00FF634D">
      <w:pPr>
        <w:spacing w:after="0" w:line="360" w:lineRule="auto"/>
        <w:jc w:val="both"/>
        <w:rPr>
          <w:rFonts w:ascii="Garamond" w:hAnsi="Garamond" w:cstheme="majorBidi"/>
          <w:bCs/>
          <w:sz w:val="24"/>
          <w:szCs w:val="24"/>
        </w:rPr>
      </w:pPr>
      <w:r w:rsidRPr="001F211E">
        <w:rPr>
          <w:rFonts w:ascii="Garamond" w:hAnsi="Garamond" w:cstheme="majorBidi"/>
          <w:bCs/>
          <w:sz w:val="24"/>
          <w:szCs w:val="24"/>
        </w:rPr>
        <w:tab/>
        <w:t>Namun, sejarah perkembangan budaya Melayu di Indragiri Hilir hingga kini belum banyak dikaji secara mendalam dan sistematis. Sebagian besar studi tentang budaya Melayu masih terfokus pada wilayah inti seperti Riau daratan, Johor, atau Melaka, sementara wilayah pesisir seperti Inhil seringkali terabaikan</w:t>
      </w:r>
      <w:r w:rsidRPr="001F211E">
        <w:rPr>
          <w:rStyle w:val="FootnoteReference"/>
          <w:rFonts w:ascii="Garamond" w:hAnsi="Garamond" w:cstheme="majorBidi"/>
          <w:bCs/>
          <w:sz w:val="24"/>
          <w:szCs w:val="24"/>
        </w:rPr>
        <w:footnoteReference w:id="3"/>
      </w:r>
      <w:r w:rsidRPr="001F211E">
        <w:rPr>
          <w:rFonts w:ascii="Garamond" w:hAnsi="Garamond" w:cstheme="majorBidi"/>
          <w:bCs/>
          <w:sz w:val="24"/>
          <w:szCs w:val="24"/>
        </w:rPr>
        <w:t>. Padahal, sejarah panjang yang dilalui oleh masyarakat Inhil—mulai dari masa kerajaan Hindu-Buddha, Islamisasi, kolonialisme Belanda, hingga masa kemerdekaan dan otonomi daerah—telah membentuk dinamika budaya yang unik dan kompleks</w:t>
      </w:r>
      <w:r w:rsidRPr="001F211E">
        <w:rPr>
          <w:rStyle w:val="FootnoteReference"/>
          <w:rFonts w:ascii="Garamond" w:hAnsi="Garamond" w:cstheme="majorBidi"/>
          <w:bCs/>
          <w:sz w:val="24"/>
          <w:szCs w:val="24"/>
        </w:rPr>
        <w:footnoteReference w:id="4"/>
      </w:r>
      <w:r w:rsidRPr="001F211E">
        <w:rPr>
          <w:rFonts w:ascii="Garamond" w:hAnsi="Garamond" w:cstheme="majorBidi"/>
          <w:bCs/>
          <w:sz w:val="24"/>
          <w:szCs w:val="24"/>
        </w:rPr>
        <w:t>. Proses akulturasi antara budaya lokal dengan pengaruh eksternal, seperti Hindu, Islam, dan Barat, telah melahirkan bentuk-bentuk budaya hibrida yang tetap berakar pada nilai-nilai Melayu</w:t>
      </w:r>
      <w:r w:rsidRPr="001F211E">
        <w:rPr>
          <w:rStyle w:val="FootnoteReference"/>
          <w:rFonts w:ascii="Garamond" w:hAnsi="Garamond" w:cstheme="majorBidi"/>
          <w:bCs/>
          <w:sz w:val="24"/>
          <w:szCs w:val="24"/>
        </w:rPr>
        <w:footnoteReference w:id="5"/>
      </w:r>
      <w:r w:rsidRPr="001F211E">
        <w:rPr>
          <w:rFonts w:ascii="Garamond" w:hAnsi="Garamond" w:cstheme="majorBidi"/>
          <w:bCs/>
          <w:sz w:val="24"/>
          <w:szCs w:val="24"/>
        </w:rPr>
        <w:t>.</w:t>
      </w:r>
    </w:p>
    <w:p w14:paraId="5849F814" w14:textId="77777777" w:rsidR="00FF634D" w:rsidRPr="001F211E" w:rsidRDefault="00FF634D" w:rsidP="00FF634D">
      <w:pPr>
        <w:spacing w:after="0" w:line="360" w:lineRule="auto"/>
        <w:jc w:val="both"/>
        <w:rPr>
          <w:rFonts w:ascii="Garamond" w:hAnsi="Garamond" w:cstheme="majorBidi"/>
          <w:bCs/>
          <w:sz w:val="24"/>
          <w:szCs w:val="24"/>
        </w:rPr>
      </w:pPr>
      <w:r w:rsidRPr="001F211E">
        <w:rPr>
          <w:rFonts w:ascii="Garamond" w:hAnsi="Garamond" w:cstheme="majorBidi"/>
          <w:bCs/>
          <w:sz w:val="24"/>
          <w:szCs w:val="24"/>
        </w:rPr>
        <w:tab/>
        <w:t>Di tengah perkembangan zaman, budaya Melayu di Indragiri Hilir juga menghadapi tantangan serius, terutama akibat globalisasi dan modernisasi yang mengikis nilai-nilai tradisional</w:t>
      </w:r>
      <w:r w:rsidRPr="001F211E">
        <w:rPr>
          <w:rStyle w:val="FootnoteReference"/>
          <w:rFonts w:ascii="Garamond" w:hAnsi="Garamond" w:cstheme="majorBidi"/>
          <w:bCs/>
          <w:sz w:val="24"/>
          <w:szCs w:val="24"/>
        </w:rPr>
        <w:footnoteReference w:id="6"/>
      </w:r>
      <w:r w:rsidRPr="001F211E">
        <w:rPr>
          <w:rFonts w:ascii="Garamond" w:hAnsi="Garamond" w:cstheme="majorBidi"/>
          <w:bCs/>
          <w:sz w:val="24"/>
          <w:szCs w:val="24"/>
        </w:rPr>
        <w:t>. Banyak generasi muda yang mulai melupakan sejarah dan warisan budaya leluhur mereka, sementara dokumen-dokumen sejarah dan naskah-naskah kuno semakin rusak dan tidak terawat</w:t>
      </w:r>
      <w:r w:rsidRPr="001F211E">
        <w:rPr>
          <w:rStyle w:val="FootnoteReference"/>
          <w:rFonts w:ascii="Garamond" w:hAnsi="Garamond" w:cstheme="majorBidi"/>
          <w:bCs/>
          <w:sz w:val="24"/>
          <w:szCs w:val="24"/>
        </w:rPr>
        <w:footnoteReference w:id="7"/>
      </w:r>
      <w:r w:rsidRPr="001F211E">
        <w:rPr>
          <w:rFonts w:ascii="Garamond" w:hAnsi="Garamond" w:cstheme="majorBidi"/>
          <w:bCs/>
          <w:sz w:val="24"/>
          <w:szCs w:val="24"/>
        </w:rPr>
        <w:t>. Oleh karena itu, upaya untuk mendokumentasikan dan menganalisis sejarah perkembangan budaya Melayu di Indragiri Hilir menjadi suatu kebutuhan yang mendesak, tidak hanya untuk kepentingan akademik, tetapi juga untuk pelestarian identitas budaya lokal</w:t>
      </w:r>
      <w:r w:rsidRPr="001F211E">
        <w:rPr>
          <w:rStyle w:val="FootnoteReference"/>
          <w:rFonts w:ascii="Garamond" w:hAnsi="Garamond" w:cstheme="majorBidi"/>
          <w:bCs/>
          <w:sz w:val="24"/>
          <w:szCs w:val="24"/>
        </w:rPr>
        <w:footnoteReference w:id="8"/>
      </w:r>
      <w:r w:rsidRPr="001F211E">
        <w:rPr>
          <w:rFonts w:ascii="Garamond" w:hAnsi="Garamond" w:cstheme="majorBidi"/>
          <w:bCs/>
          <w:sz w:val="24"/>
          <w:szCs w:val="24"/>
        </w:rPr>
        <w:t>.</w:t>
      </w:r>
    </w:p>
    <w:p w14:paraId="28BEFB26" w14:textId="77777777" w:rsidR="00FF634D" w:rsidRPr="001F211E" w:rsidRDefault="00FF634D" w:rsidP="00FF634D">
      <w:pPr>
        <w:spacing w:after="0" w:line="360" w:lineRule="auto"/>
        <w:jc w:val="both"/>
        <w:rPr>
          <w:rFonts w:ascii="Garamond" w:hAnsi="Garamond" w:cstheme="majorBidi"/>
          <w:bCs/>
          <w:sz w:val="24"/>
          <w:szCs w:val="24"/>
        </w:rPr>
      </w:pPr>
      <w:r w:rsidRPr="001F211E">
        <w:rPr>
          <w:rFonts w:ascii="Garamond" w:hAnsi="Garamond" w:cstheme="majorBidi"/>
          <w:bCs/>
          <w:sz w:val="24"/>
          <w:szCs w:val="24"/>
        </w:rPr>
        <w:lastRenderedPageBreak/>
        <w:tab/>
        <w:t>Penelitian ini bertujuan untuk: (1) merekonstruksi sejarah perkembangan budaya Melayu di Indragiri Hilir berdasarkan periode-periode penting; (2) menganalisis proses akulturasi dan transformasi budaya yang terjadi; (3) mengidentifikasi faktor-faktor yang mempengaruhi kelangsungan budaya Melayu hingga saat ini; serta (4) memberikan rekomendasi strategis untuk pelestarian budaya berbasis kajian sejarah. Dengan pendekatan historis dan analisis budaya, penelitian ini diharapkan dapat memberikan kontribusi nyata bagi pengayaan khazanah ilmu pengetahuan tentang budaya Melayu sekaligus menjadi bahan pertimbangan bagi perumusan kebijakan kebudayaan di tingkat daerah.</w:t>
      </w:r>
    </w:p>
    <w:p w14:paraId="7117B606" w14:textId="77777777" w:rsidR="0074347D" w:rsidRPr="00707655" w:rsidRDefault="0074347D" w:rsidP="00D5617E">
      <w:pPr>
        <w:spacing w:after="0" w:line="240" w:lineRule="auto"/>
        <w:rPr>
          <w:rFonts w:ascii="Garamond" w:hAnsi="Garamond" w:cs="Times New Roman"/>
          <w:b/>
          <w:sz w:val="24"/>
          <w:szCs w:val="24"/>
        </w:rPr>
      </w:pPr>
    </w:p>
    <w:p w14:paraId="35AEE7AF" w14:textId="3F673EFC"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METODE </w:t>
      </w:r>
    </w:p>
    <w:p w14:paraId="4761F28B" w14:textId="443750DB" w:rsidR="00FF634D" w:rsidRPr="001F211E" w:rsidRDefault="00FF634D" w:rsidP="00FF634D">
      <w:pPr>
        <w:spacing w:after="0" w:line="360" w:lineRule="auto"/>
        <w:ind w:firstLine="720"/>
        <w:jc w:val="both"/>
        <w:rPr>
          <w:rFonts w:ascii="Garamond" w:hAnsi="Garamond" w:cstheme="majorBidi"/>
          <w:bCs/>
          <w:sz w:val="24"/>
          <w:szCs w:val="24"/>
        </w:rPr>
      </w:pPr>
      <w:r w:rsidRPr="001F211E">
        <w:rPr>
          <w:rFonts w:ascii="Garamond" w:hAnsi="Garamond" w:cstheme="majorBidi"/>
          <w:bCs/>
          <w:sz w:val="24"/>
          <w:szCs w:val="24"/>
        </w:rPr>
        <w:t>Penelitian ini menggunakan metode penelitian kualitatif dengan pendekatan historis untuk menganalisis perkembangan budaya Melayu di Indragiri Hilir. Pendekatan historis dipilih karena memungkinkan peneliti untuk menelusuri dan merekonstruksi peristiwa masa lampau secara sistematis berdasarkan bukti-bukti sejarah yang valid</w:t>
      </w:r>
      <w:r w:rsidRPr="001F211E">
        <w:rPr>
          <w:rStyle w:val="FootnoteReference"/>
          <w:rFonts w:ascii="Garamond" w:hAnsi="Garamond" w:cstheme="majorBidi"/>
          <w:bCs/>
          <w:sz w:val="24"/>
          <w:szCs w:val="24"/>
        </w:rPr>
        <w:footnoteReference w:id="9"/>
      </w:r>
      <w:r w:rsidRPr="001F211E">
        <w:rPr>
          <w:rFonts w:ascii="Garamond" w:hAnsi="Garamond" w:cstheme="majorBidi"/>
          <w:bCs/>
          <w:sz w:val="24"/>
          <w:szCs w:val="24"/>
        </w:rPr>
        <w:t xml:space="preserve">. Proses penelitian dilakukan melalui beberapa tahap, yaitu heuristik (pengumpulan sumber), kritik sumber (verifikasi data), interpretasi (penafsiran), dan historiografi (penulisan </w:t>
      </w:r>
      <w:proofErr w:type="gramStart"/>
      <w:r w:rsidRPr="001F211E">
        <w:rPr>
          <w:rFonts w:ascii="Garamond" w:hAnsi="Garamond" w:cstheme="majorBidi"/>
          <w:bCs/>
          <w:sz w:val="24"/>
          <w:szCs w:val="24"/>
        </w:rPr>
        <w:t>sejarah)¹</w:t>
      </w:r>
      <w:proofErr w:type="gramEnd"/>
      <w:r w:rsidRPr="001F211E">
        <w:rPr>
          <w:rStyle w:val="FootnoteReference"/>
          <w:rFonts w:ascii="Garamond" w:hAnsi="Garamond" w:cstheme="majorBidi"/>
          <w:bCs/>
          <w:sz w:val="24"/>
          <w:szCs w:val="24"/>
        </w:rPr>
        <w:footnoteReference w:id="10"/>
      </w:r>
      <w:r w:rsidRPr="001F211E">
        <w:rPr>
          <w:rFonts w:ascii="Garamond" w:hAnsi="Garamond" w:cstheme="majorBidi"/>
          <w:bCs/>
          <w:sz w:val="24"/>
          <w:szCs w:val="24"/>
        </w:rPr>
        <w:t>.</w:t>
      </w:r>
    </w:p>
    <w:p w14:paraId="13A29FAE" w14:textId="77777777" w:rsidR="00FF634D" w:rsidRPr="001F211E" w:rsidRDefault="00FF634D" w:rsidP="00FF634D">
      <w:pPr>
        <w:spacing w:after="0" w:line="360" w:lineRule="auto"/>
        <w:ind w:firstLine="720"/>
        <w:jc w:val="both"/>
        <w:rPr>
          <w:rFonts w:ascii="Garamond" w:hAnsi="Garamond" w:cstheme="majorBidi"/>
          <w:bCs/>
          <w:sz w:val="24"/>
          <w:szCs w:val="24"/>
        </w:rPr>
      </w:pPr>
      <w:r w:rsidRPr="001F211E">
        <w:rPr>
          <w:rFonts w:ascii="Garamond" w:hAnsi="Garamond" w:cstheme="majorBidi"/>
          <w:bCs/>
          <w:sz w:val="24"/>
          <w:szCs w:val="24"/>
        </w:rPr>
        <w:t>Data penelitian diperoleh dari dua jenis sumber, yaitu sumber primer dan sumber sekunder. Sumber primer meliputi naskah-naskah kuno Melayu yang berasal dari Indragiri Hilir, seperti </w:t>
      </w:r>
      <w:r w:rsidRPr="001F211E">
        <w:rPr>
          <w:rFonts w:ascii="Garamond" w:hAnsi="Garamond" w:cstheme="majorBidi"/>
          <w:bCs/>
          <w:i/>
          <w:iCs/>
          <w:sz w:val="24"/>
          <w:szCs w:val="24"/>
        </w:rPr>
        <w:t>Hikayat Indragiri</w:t>
      </w:r>
      <w:r w:rsidRPr="001F211E">
        <w:rPr>
          <w:rFonts w:ascii="Garamond" w:hAnsi="Garamond" w:cstheme="majorBidi"/>
          <w:bCs/>
          <w:sz w:val="24"/>
          <w:szCs w:val="24"/>
        </w:rPr>
        <w:t>, </w:t>
      </w:r>
      <w:r w:rsidRPr="001F211E">
        <w:rPr>
          <w:rFonts w:ascii="Garamond" w:hAnsi="Garamond" w:cstheme="majorBidi"/>
          <w:bCs/>
          <w:i/>
          <w:iCs/>
          <w:sz w:val="24"/>
          <w:szCs w:val="24"/>
        </w:rPr>
        <w:t>Syair Perang Indragiri</w:t>
      </w:r>
      <w:r w:rsidRPr="001F211E">
        <w:rPr>
          <w:rFonts w:ascii="Garamond" w:hAnsi="Garamond" w:cstheme="majorBidi"/>
          <w:bCs/>
          <w:sz w:val="24"/>
          <w:szCs w:val="24"/>
        </w:rPr>
        <w:t>, dan naskah-naskah adat yang tersimpan di masyarakat maupun museum lokal</w:t>
      </w:r>
      <w:r w:rsidRPr="001F211E">
        <w:rPr>
          <w:rStyle w:val="FootnoteReference"/>
          <w:rFonts w:ascii="Garamond" w:hAnsi="Garamond" w:cstheme="majorBidi"/>
          <w:bCs/>
          <w:sz w:val="24"/>
          <w:szCs w:val="24"/>
        </w:rPr>
        <w:footnoteReference w:id="11"/>
      </w:r>
      <w:r w:rsidRPr="001F211E">
        <w:rPr>
          <w:rFonts w:ascii="Garamond" w:hAnsi="Garamond" w:cstheme="majorBidi"/>
          <w:bCs/>
          <w:sz w:val="24"/>
          <w:szCs w:val="24"/>
        </w:rPr>
        <w:t>. Selain itu, arsip kolonial Belanda yang berkaitan dengan administrasi dan kebijakan budaya di Indragiri juga menjadi sumber penting, terutama dari Arsip Nasional Republik Indonesia dan </w:t>
      </w:r>
      <w:r w:rsidRPr="001F211E">
        <w:rPr>
          <w:rFonts w:ascii="Garamond" w:hAnsi="Garamond" w:cstheme="majorBidi"/>
          <w:bCs/>
          <w:i/>
          <w:iCs/>
          <w:sz w:val="24"/>
          <w:szCs w:val="24"/>
        </w:rPr>
        <w:t>Nationaal Archief</w:t>
      </w:r>
      <w:r w:rsidRPr="001F211E">
        <w:rPr>
          <w:rFonts w:ascii="Garamond" w:hAnsi="Garamond" w:cstheme="majorBidi"/>
          <w:bCs/>
          <w:sz w:val="24"/>
          <w:szCs w:val="24"/>
        </w:rPr>
        <w:t> Belanda</w:t>
      </w:r>
      <w:r w:rsidRPr="001F211E">
        <w:rPr>
          <w:rStyle w:val="FootnoteReference"/>
          <w:rFonts w:ascii="Garamond" w:hAnsi="Garamond" w:cstheme="majorBidi"/>
          <w:bCs/>
          <w:sz w:val="24"/>
          <w:szCs w:val="24"/>
        </w:rPr>
        <w:footnoteReference w:id="12"/>
      </w:r>
      <w:r w:rsidRPr="001F211E">
        <w:rPr>
          <w:rFonts w:ascii="Garamond" w:hAnsi="Garamond" w:cstheme="majorBidi"/>
          <w:bCs/>
          <w:sz w:val="24"/>
          <w:szCs w:val="24"/>
        </w:rPr>
        <w:t>. Wawancara mendalam juga dilakukan dengan sejumlah tokoh adat, budayawan, dan sesepuh masyarakat Inhil untuk mendapatkan data sejarah lisan yang belum terdokumentasi</w:t>
      </w:r>
      <w:r w:rsidRPr="001F211E">
        <w:rPr>
          <w:rStyle w:val="FootnoteReference"/>
          <w:rFonts w:ascii="Garamond" w:hAnsi="Garamond" w:cstheme="majorBidi"/>
          <w:bCs/>
          <w:sz w:val="24"/>
          <w:szCs w:val="24"/>
        </w:rPr>
        <w:footnoteReference w:id="13"/>
      </w:r>
      <w:r w:rsidRPr="001F211E">
        <w:rPr>
          <w:rFonts w:ascii="Garamond" w:hAnsi="Garamond" w:cstheme="majorBidi"/>
          <w:bCs/>
          <w:sz w:val="24"/>
          <w:szCs w:val="24"/>
        </w:rPr>
        <w:t>.</w:t>
      </w:r>
    </w:p>
    <w:p w14:paraId="60D4A03D" w14:textId="77777777" w:rsidR="00FF634D" w:rsidRPr="001F211E" w:rsidRDefault="00FF634D" w:rsidP="00FF634D">
      <w:pPr>
        <w:spacing w:after="0" w:line="360" w:lineRule="auto"/>
        <w:ind w:firstLine="720"/>
        <w:jc w:val="both"/>
        <w:rPr>
          <w:rFonts w:ascii="Garamond" w:hAnsi="Garamond" w:cstheme="majorBidi"/>
          <w:bCs/>
          <w:sz w:val="24"/>
          <w:szCs w:val="24"/>
          <w:lang w:val="en-US"/>
        </w:rPr>
      </w:pPr>
      <w:r w:rsidRPr="001F211E">
        <w:rPr>
          <w:rFonts w:ascii="Garamond" w:hAnsi="Garamond" w:cstheme="majorBidi"/>
          <w:bCs/>
          <w:sz w:val="24"/>
          <w:szCs w:val="24"/>
          <w:lang w:val="en-US"/>
        </w:rPr>
        <w:t>Sumber sekunder diperoleh dari buku-buku sejarah lokal, jurnal ilmiah, artikel akademik, tesis, dan disertasi yang membahas tentang budaya Melayu dan sejarah Indragiri Hilir</w:t>
      </w:r>
      <w:r w:rsidRPr="001F211E">
        <w:rPr>
          <w:rStyle w:val="FootnoteReference"/>
          <w:rFonts w:ascii="Garamond" w:hAnsi="Garamond" w:cstheme="majorBidi"/>
          <w:bCs/>
          <w:sz w:val="24"/>
          <w:szCs w:val="24"/>
          <w:lang w:val="en-US"/>
        </w:rPr>
        <w:footnoteReference w:id="14"/>
      </w:r>
      <w:r w:rsidRPr="001F211E">
        <w:rPr>
          <w:rFonts w:ascii="Garamond" w:hAnsi="Garamond" w:cstheme="majorBidi"/>
          <w:bCs/>
          <w:sz w:val="24"/>
          <w:szCs w:val="24"/>
          <w:lang w:val="en-US"/>
        </w:rPr>
        <w:t>. Analisis data dilakukan secara tematik dengan mengelompokkan temuan berdasarkan periode sejarah dan aspek budaya, seperti bahasa, sastra, seni, arsitektur, dan adat istiadat</w:t>
      </w:r>
      <w:r w:rsidRPr="001F211E">
        <w:rPr>
          <w:rStyle w:val="FootnoteReference"/>
          <w:rFonts w:ascii="Garamond" w:hAnsi="Garamond" w:cstheme="majorBidi"/>
          <w:bCs/>
          <w:sz w:val="24"/>
          <w:szCs w:val="24"/>
          <w:lang w:val="en-US"/>
        </w:rPr>
        <w:footnoteReference w:id="15"/>
      </w:r>
      <w:r w:rsidRPr="001F211E">
        <w:rPr>
          <w:rFonts w:ascii="Garamond" w:hAnsi="Garamond" w:cstheme="majorBidi"/>
          <w:bCs/>
          <w:sz w:val="24"/>
          <w:szCs w:val="24"/>
          <w:lang w:val="en-US"/>
        </w:rPr>
        <w:t xml:space="preserve">. Untuk memastikan </w:t>
      </w:r>
      <w:r w:rsidRPr="001F211E">
        <w:rPr>
          <w:rFonts w:ascii="Garamond" w:hAnsi="Garamond" w:cstheme="majorBidi"/>
          <w:bCs/>
          <w:sz w:val="24"/>
          <w:szCs w:val="24"/>
          <w:lang w:val="en-US"/>
        </w:rPr>
        <w:lastRenderedPageBreak/>
        <w:t>keabsahan data, peneliti menggunakan teknik triangulasi sumber, yaitu membandingkan data dari berbagai sumber untuk mendapatkan gambaran yang lebih akurat dan komprehensif</w:t>
      </w:r>
      <w:r w:rsidRPr="001F211E">
        <w:rPr>
          <w:rStyle w:val="FootnoteReference"/>
          <w:rFonts w:ascii="Garamond" w:hAnsi="Garamond" w:cstheme="majorBidi"/>
          <w:bCs/>
          <w:sz w:val="24"/>
          <w:szCs w:val="24"/>
          <w:lang w:val="en-US"/>
        </w:rPr>
        <w:footnoteReference w:id="16"/>
      </w:r>
      <w:r w:rsidRPr="001F211E">
        <w:rPr>
          <w:rFonts w:ascii="Garamond" w:hAnsi="Garamond" w:cstheme="majorBidi"/>
          <w:bCs/>
          <w:sz w:val="24"/>
          <w:szCs w:val="24"/>
          <w:lang w:val="en-US"/>
        </w:rPr>
        <w:t>.</w:t>
      </w:r>
    </w:p>
    <w:p w14:paraId="58142FAE" w14:textId="77777777" w:rsidR="00FF634D" w:rsidRPr="001F211E" w:rsidRDefault="00FF634D" w:rsidP="00FF634D">
      <w:pPr>
        <w:spacing w:after="0" w:line="360" w:lineRule="auto"/>
        <w:ind w:firstLine="720"/>
        <w:jc w:val="both"/>
        <w:rPr>
          <w:rFonts w:ascii="Garamond" w:hAnsi="Garamond" w:cstheme="majorBidi"/>
          <w:bCs/>
          <w:sz w:val="24"/>
          <w:szCs w:val="24"/>
          <w:lang w:val="en-US"/>
        </w:rPr>
      </w:pPr>
      <w:r w:rsidRPr="001F211E">
        <w:rPr>
          <w:rFonts w:ascii="Garamond" w:hAnsi="Garamond" w:cstheme="majorBidi"/>
          <w:bCs/>
          <w:sz w:val="24"/>
          <w:szCs w:val="24"/>
          <w:lang w:val="en-US"/>
        </w:rPr>
        <w:t>Penelitian ini juga menggunakan pendekatan interdisipliner dengan memadukan perspektif sejarah, antropologi, dan filologi untuk mendapatkan pemahaman yang holistik tentang perkembangan budaya Melayu di Indragiri Hilir</w:t>
      </w:r>
      <w:r w:rsidRPr="001F211E">
        <w:rPr>
          <w:rStyle w:val="FootnoteReference"/>
          <w:rFonts w:ascii="Garamond" w:hAnsi="Garamond" w:cstheme="majorBidi"/>
          <w:bCs/>
          <w:sz w:val="24"/>
          <w:szCs w:val="24"/>
          <w:lang w:val="en-US"/>
        </w:rPr>
        <w:footnoteReference w:id="17"/>
      </w:r>
      <w:r w:rsidRPr="001F211E">
        <w:rPr>
          <w:rFonts w:ascii="Garamond" w:hAnsi="Garamond" w:cstheme="majorBidi"/>
          <w:bCs/>
          <w:sz w:val="24"/>
          <w:szCs w:val="24"/>
          <w:lang w:val="en-US"/>
        </w:rPr>
        <w:t>. Dengan demikian, diharapkan penelitian ini tidak hanya menyajikan narasi sejarah, tetapi juga mampu menganalisis makna dan nilai budaya yang terkandung di dalamnya</w:t>
      </w:r>
      <w:r w:rsidRPr="001F211E">
        <w:rPr>
          <w:rStyle w:val="FootnoteReference"/>
          <w:rFonts w:ascii="Garamond" w:hAnsi="Garamond" w:cstheme="majorBidi"/>
          <w:bCs/>
          <w:sz w:val="24"/>
          <w:szCs w:val="24"/>
          <w:lang w:val="en-US"/>
        </w:rPr>
        <w:footnoteReference w:id="18"/>
      </w:r>
      <w:r w:rsidRPr="001F211E">
        <w:rPr>
          <w:rFonts w:ascii="Garamond" w:hAnsi="Garamond" w:cstheme="majorBidi"/>
          <w:bCs/>
          <w:sz w:val="24"/>
          <w:szCs w:val="24"/>
          <w:lang w:val="en-US"/>
        </w:rPr>
        <w:t>.</w:t>
      </w:r>
    </w:p>
    <w:p w14:paraId="639EE3DA" w14:textId="64E1D980" w:rsidR="0074347D" w:rsidRPr="00707655" w:rsidRDefault="0074347D" w:rsidP="00FF634D">
      <w:pPr>
        <w:pStyle w:val="abstrak"/>
        <w:spacing w:line="360" w:lineRule="auto"/>
        <w:ind w:left="0" w:right="26" w:firstLine="630"/>
        <w:rPr>
          <w:rFonts w:ascii="Garamond" w:hAnsi="Garamond"/>
          <w:b/>
          <w:sz w:val="24"/>
        </w:rPr>
      </w:pPr>
    </w:p>
    <w:p w14:paraId="61981A61" w14:textId="23197508"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HASIL DAN PEMBAHASAN </w:t>
      </w:r>
    </w:p>
    <w:p w14:paraId="09499354" w14:textId="1A60CE76" w:rsidR="00FF634D" w:rsidRPr="00857290" w:rsidRDefault="0074347D" w:rsidP="00857290">
      <w:pPr>
        <w:spacing w:after="0" w:line="360" w:lineRule="auto"/>
        <w:ind w:firstLine="567"/>
        <w:jc w:val="both"/>
        <w:rPr>
          <w:rFonts w:ascii="Garamond" w:eastAsia="Times New Roman" w:hAnsi="Garamond" w:cs="Arial"/>
          <w:sz w:val="24"/>
          <w:szCs w:val="24"/>
          <w:lang w:val="en-US"/>
        </w:rPr>
      </w:pPr>
      <w:r w:rsidRPr="00707655">
        <w:rPr>
          <w:rFonts w:ascii="Garamond" w:eastAsia="Times New Roman" w:hAnsi="Garamond" w:cs="Arial"/>
          <w:sz w:val="24"/>
          <w:szCs w:val="24"/>
          <w:lang w:val="en-US"/>
        </w:rPr>
        <w:t>Hasil penelitian ini</w:t>
      </w:r>
      <w:r w:rsidR="00857290">
        <w:rPr>
          <w:rFonts w:ascii="Garamond" w:eastAsia="Times New Roman" w:hAnsi="Garamond" w:cs="Arial"/>
          <w:sz w:val="24"/>
          <w:szCs w:val="24"/>
          <w:lang w:val="en-US"/>
        </w:rPr>
        <w:t xml:space="preserve"> adalah;</w:t>
      </w:r>
    </w:p>
    <w:p w14:paraId="66A5C585" w14:textId="01CA2A49" w:rsidR="00FF634D" w:rsidRPr="001F211E" w:rsidRDefault="00FF634D" w:rsidP="00FF634D">
      <w:pPr>
        <w:spacing w:after="0" w:line="360" w:lineRule="auto"/>
        <w:rPr>
          <w:rFonts w:ascii="Garamond" w:hAnsi="Garamond" w:cstheme="majorBidi"/>
          <w:b/>
          <w:bCs/>
          <w:caps/>
          <w:sz w:val="24"/>
          <w:szCs w:val="24"/>
          <w:lang w:val="en-US"/>
        </w:rPr>
      </w:pPr>
      <w:r w:rsidRPr="001F211E">
        <w:rPr>
          <w:rFonts w:ascii="Garamond" w:hAnsi="Garamond" w:cstheme="majorBidi"/>
          <w:b/>
          <w:bCs/>
          <w:sz w:val="24"/>
          <w:szCs w:val="24"/>
          <w:lang w:val="en-US"/>
        </w:rPr>
        <w:t xml:space="preserve">Masa </w:t>
      </w:r>
      <w:r w:rsidR="00857290" w:rsidRPr="001F211E">
        <w:rPr>
          <w:rFonts w:ascii="Garamond" w:hAnsi="Garamond" w:cstheme="majorBidi"/>
          <w:b/>
          <w:bCs/>
          <w:sz w:val="24"/>
          <w:szCs w:val="24"/>
          <w:lang w:val="en-US"/>
        </w:rPr>
        <w:t>Pra-Islam Akar Budaya Hindu-Buddha Dan Kepercayaan Lokal</w:t>
      </w:r>
    </w:p>
    <w:p w14:paraId="09D90A5E" w14:textId="77777777" w:rsidR="00857290" w:rsidRDefault="00FF634D" w:rsidP="00857290">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Sebelum masuknya islam, wilayah indragiri hilir telah dihuni oleh masyarakat melayu yang menganut kepercayaan animisme dan dinamisme, serta berada di bawah pengaruh budaya hindu-buddha yang dibawa oleh kerajaan-kerajaan besar seperti sriwijaya dan melayu</w:t>
      </w:r>
      <w:r w:rsidRPr="001F211E">
        <w:rPr>
          <w:rStyle w:val="FootnoteReference"/>
          <w:rFonts w:ascii="Garamond" w:hAnsi="Garamond" w:cstheme="majorBidi"/>
          <w:sz w:val="24"/>
          <w:szCs w:val="24"/>
          <w:lang w:val="en-US"/>
        </w:rPr>
        <w:footnoteReference w:id="19"/>
      </w:r>
      <w:r w:rsidRPr="001F211E">
        <w:rPr>
          <w:rFonts w:ascii="Garamond" w:hAnsi="Garamond" w:cstheme="majorBidi"/>
          <w:sz w:val="24"/>
          <w:szCs w:val="24"/>
          <w:lang w:val="en-US"/>
        </w:rPr>
        <w:t>. Bukti arkeologis menunjukkan adanya peninggalan candi dan arca di sekitar sungai indragiri, yang menunjukkan bahwa agama hindu-buddha pernah berkembang pesat di wilayah ini</w:t>
      </w:r>
      <w:r w:rsidRPr="001F211E">
        <w:rPr>
          <w:rStyle w:val="FootnoteReference"/>
          <w:rFonts w:ascii="Garamond" w:hAnsi="Garamond" w:cstheme="majorBidi"/>
          <w:sz w:val="24"/>
          <w:szCs w:val="24"/>
          <w:lang w:val="en-US"/>
        </w:rPr>
        <w:footnoteReference w:id="20"/>
      </w:r>
      <w:r w:rsidRPr="001F211E">
        <w:rPr>
          <w:rFonts w:ascii="Garamond" w:hAnsi="Garamond" w:cstheme="majorBidi"/>
          <w:sz w:val="24"/>
          <w:szCs w:val="24"/>
          <w:lang w:val="en-US"/>
        </w:rPr>
        <w:t>. Selain itu, sistem pemerintahan pada masa ini telah mengenal struktur kerajaan kecil (</w:t>
      </w:r>
      <w:r w:rsidRPr="001F211E">
        <w:rPr>
          <w:rFonts w:ascii="Garamond" w:hAnsi="Garamond" w:cstheme="majorBidi"/>
          <w:i/>
          <w:iCs/>
          <w:sz w:val="24"/>
          <w:szCs w:val="24"/>
          <w:lang w:val="en-US"/>
        </w:rPr>
        <w:t>kampung-kampung adat</w:t>
      </w:r>
      <w:r w:rsidRPr="001F211E">
        <w:rPr>
          <w:rFonts w:ascii="Garamond" w:hAnsi="Garamond" w:cstheme="majorBidi"/>
          <w:sz w:val="24"/>
          <w:szCs w:val="24"/>
          <w:lang w:val="en-US"/>
        </w:rPr>
        <w:t>) yang dipimpin oleh seorang </w:t>
      </w:r>
      <w:r w:rsidRPr="001F211E">
        <w:rPr>
          <w:rFonts w:ascii="Garamond" w:hAnsi="Garamond" w:cstheme="majorBidi"/>
          <w:i/>
          <w:iCs/>
          <w:sz w:val="24"/>
          <w:szCs w:val="24"/>
          <w:lang w:val="en-US"/>
        </w:rPr>
        <w:t>datuk</w:t>
      </w:r>
      <w:r w:rsidRPr="001F211E">
        <w:rPr>
          <w:rFonts w:ascii="Garamond" w:hAnsi="Garamond" w:cstheme="majorBidi"/>
          <w:sz w:val="24"/>
          <w:szCs w:val="24"/>
          <w:lang w:val="en-US"/>
        </w:rPr>
        <w:t> atau </w:t>
      </w:r>
      <w:r w:rsidRPr="001F211E">
        <w:rPr>
          <w:rFonts w:ascii="Garamond" w:hAnsi="Garamond" w:cstheme="majorBidi"/>
          <w:i/>
          <w:iCs/>
          <w:sz w:val="24"/>
          <w:szCs w:val="24"/>
          <w:lang w:val="en-US"/>
        </w:rPr>
        <w:t>penghulu</w:t>
      </w:r>
      <w:r w:rsidRPr="001F211E">
        <w:rPr>
          <w:rFonts w:ascii="Garamond" w:hAnsi="Garamond" w:cstheme="majorBidi"/>
          <w:sz w:val="24"/>
          <w:szCs w:val="24"/>
          <w:lang w:val="en-US"/>
        </w:rPr>
        <w:t> yang memiliki kewenangan penuh dalam mengatur masyarakat</w:t>
      </w:r>
      <w:r w:rsidRPr="001F211E">
        <w:rPr>
          <w:rStyle w:val="FootnoteReference"/>
          <w:rFonts w:ascii="Garamond" w:hAnsi="Garamond" w:cstheme="majorBidi"/>
          <w:sz w:val="24"/>
          <w:szCs w:val="24"/>
          <w:lang w:val="en-US"/>
        </w:rPr>
        <w:footnoteReference w:id="21"/>
      </w:r>
      <w:r w:rsidRPr="001F211E">
        <w:rPr>
          <w:rFonts w:ascii="Garamond" w:hAnsi="Garamond" w:cstheme="majorBidi"/>
          <w:sz w:val="24"/>
          <w:szCs w:val="24"/>
          <w:lang w:val="en-US"/>
        </w:rPr>
        <w:t>.</w:t>
      </w:r>
    </w:p>
    <w:p w14:paraId="4C776058" w14:textId="372B0E86" w:rsidR="00FF634D" w:rsidRPr="001F211E" w:rsidRDefault="00FF634D" w:rsidP="00857290">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Bahasa melayu kuno yang digunakan pada masa ini telah menjadi lingua franca di wilayah pesisir timur sumatra, terutama dalam aktivitas perdagangan dan diplomasi</w:t>
      </w:r>
      <w:r w:rsidRPr="001F211E">
        <w:rPr>
          <w:rStyle w:val="FootnoteReference"/>
          <w:rFonts w:ascii="Garamond" w:hAnsi="Garamond" w:cstheme="majorBidi"/>
          <w:sz w:val="24"/>
          <w:szCs w:val="24"/>
          <w:lang w:val="en-US"/>
        </w:rPr>
        <w:footnoteReference w:id="22"/>
      </w:r>
      <w:r w:rsidRPr="001F211E">
        <w:rPr>
          <w:rFonts w:ascii="Garamond" w:hAnsi="Garamond" w:cstheme="majorBidi"/>
          <w:sz w:val="24"/>
          <w:szCs w:val="24"/>
          <w:lang w:val="en-US"/>
        </w:rPr>
        <w:t>. Sastra lisan juga berkembang dalam bentuk cerita rakyat, pantun, dan mantra-mantra yang sarat dengan nilai spiritual dan kearifan lokal</w:t>
      </w:r>
      <w:r w:rsidRPr="001F211E">
        <w:rPr>
          <w:rStyle w:val="FootnoteReference"/>
          <w:rFonts w:ascii="Garamond" w:hAnsi="Garamond" w:cstheme="majorBidi"/>
          <w:sz w:val="24"/>
          <w:szCs w:val="24"/>
          <w:lang w:val="en-US"/>
        </w:rPr>
        <w:footnoteReference w:id="23"/>
      </w:r>
      <w:r w:rsidRPr="001F211E">
        <w:rPr>
          <w:rFonts w:ascii="Garamond" w:hAnsi="Garamond" w:cstheme="majorBidi"/>
          <w:sz w:val="24"/>
          <w:szCs w:val="24"/>
          <w:lang w:val="en-US"/>
        </w:rPr>
        <w:t>. Seni pertunjukan seperti </w:t>
      </w:r>
      <w:r w:rsidRPr="001F211E">
        <w:rPr>
          <w:rFonts w:ascii="Garamond" w:hAnsi="Garamond" w:cstheme="majorBidi"/>
          <w:i/>
          <w:iCs/>
          <w:sz w:val="24"/>
          <w:szCs w:val="24"/>
          <w:lang w:val="en-US"/>
        </w:rPr>
        <w:t>tari persembahan</w:t>
      </w:r>
      <w:r w:rsidRPr="001F211E">
        <w:rPr>
          <w:rFonts w:ascii="Garamond" w:hAnsi="Garamond" w:cstheme="majorBidi"/>
          <w:sz w:val="24"/>
          <w:szCs w:val="24"/>
          <w:lang w:val="en-US"/>
        </w:rPr>
        <w:t> dan </w:t>
      </w:r>
      <w:r w:rsidRPr="001F211E">
        <w:rPr>
          <w:rFonts w:ascii="Garamond" w:hAnsi="Garamond" w:cstheme="majorBidi"/>
          <w:i/>
          <w:iCs/>
          <w:sz w:val="24"/>
          <w:szCs w:val="24"/>
          <w:lang w:val="en-US"/>
        </w:rPr>
        <w:t>teater tradisional</w:t>
      </w:r>
      <w:r w:rsidRPr="001F211E">
        <w:rPr>
          <w:rFonts w:ascii="Garamond" w:hAnsi="Garamond" w:cstheme="majorBidi"/>
          <w:sz w:val="24"/>
          <w:szCs w:val="24"/>
          <w:lang w:val="en-US"/>
        </w:rPr>
        <w:t> telah menjadi bagian integral dari upacara adat dan ritual kepercayaan</w:t>
      </w:r>
      <w:r w:rsidRPr="001F211E">
        <w:rPr>
          <w:rStyle w:val="FootnoteReference"/>
          <w:rFonts w:ascii="Garamond" w:hAnsi="Garamond" w:cstheme="majorBidi"/>
          <w:sz w:val="24"/>
          <w:szCs w:val="24"/>
          <w:lang w:val="en-US"/>
        </w:rPr>
        <w:footnoteReference w:id="24"/>
      </w:r>
      <w:r w:rsidRPr="001F211E">
        <w:rPr>
          <w:rFonts w:ascii="Garamond" w:hAnsi="Garamond" w:cstheme="majorBidi"/>
          <w:sz w:val="24"/>
          <w:szCs w:val="24"/>
          <w:lang w:val="en-US"/>
        </w:rPr>
        <w:t>. Arsitektur rumah tradisional melayu pada masa ini masih sederhana, berbentuk panggung dengan material kayu dan atap daun rumbia, yang disesuaikan dengan kondisi geografis daerah rawa dan pesisir</w:t>
      </w:r>
      <w:r w:rsidRPr="001F211E">
        <w:rPr>
          <w:rStyle w:val="FootnoteReference"/>
          <w:rFonts w:ascii="Garamond" w:hAnsi="Garamond" w:cstheme="majorBidi"/>
          <w:sz w:val="24"/>
          <w:szCs w:val="24"/>
          <w:lang w:val="en-US"/>
        </w:rPr>
        <w:footnoteReference w:id="25"/>
      </w:r>
      <w:r w:rsidRPr="001F211E">
        <w:rPr>
          <w:rFonts w:ascii="Garamond" w:hAnsi="Garamond" w:cstheme="majorBidi"/>
          <w:sz w:val="24"/>
          <w:szCs w:val="24"/>
          <w:lang w:val="en-US"/>
        </w:rPr>
        <w:t>.</w:t>
      </w:r>
    </w:p>
    <w:p w14:paraId="1AB7F81F" w14:textId="48FDFBE6" w:rsidR="00FF634D" w:rsidRPr="001F211E" w:rsidRDefault="00FF634D" w:rsidP="00FF634D">
      <w:pPr>
        <w:spacing w:after="0" w:line="360" w:lineRule="auto"/>
        <w:jc w:val="both"/>
        <w:rPr>
          <w:rFonts w:ascii="Garamond" w:hAnsi="Garamond" w:cstheme="majorBidi"/>
          <w:b/>
          <w:bCs/>
          <w:caps/>
          <w:sz w:val="24"/>
          <w:szCs w:val="24"/>
          <w:lang w:val="en-US"/>
        </w:rPr>
      </w:pPr>
      <w:r w:rsidRPr="001F211E">
        <w:rPr>
          <w:rFonts w:ascii="Garamond" w:hAnsi="Garamond" w:cstheme="majorBidi"/>
          <w:b/>
          <w:bCs/>
          <w:sz w:val="24"/>
          <w:szCs w:val="24"/>
          <w:lang w:val="en-US"/>
        </w:rPr>
        <w:lastRenderedPageBreak/>
        <w:t xml:space="preserve">Masa </w:t>
      </w:r>
      <w:r w:rsidR="00857290" w:rsidRPr="001F211E">
        <w:rPr>
          <w:rFonts w:ascii="Garamond" w:hAnsi="Garamond" w:cstheme="majorBidi"/>
          <w:b/>
          <w:bCs/>
          <w:sz w:val="24"/>
          <w:szCs w:val="24"/>
          <w:lang w:val="en-US"/>
        </w:rPr>
        <w:t>Islamisasi Transformasi Budaya Melayu Berbasis Syarak</w:t>
      </w:r>
    </w:p>
    <w:p w14:paraId="1EB68EA3"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Masuknya islam ke indragiri hilir pada abad ke-13 hingga ke-17 membawa perubahan mendasar dalam kehidupan budaya masyarakat</w:t>
      </w:r>
      <w:r w:rsidRPr="001F211E">
        <w:rPr>
          <w:rStyle w:val="FootnoteReference"/>
          <w:rFonts w:ascii="Garamond" w:hAnsi="Garamond" w:cstheme="majorBidi"/>
          <w:sz w:val="24"/>
          <w:szCs w:val="24"/>
          <w:lang w:val="en-US"/>
        </w:rPr>
        <w:footnoteReference w:id="26"/>
      </w:r>
      <w:r w:rsidRPr="001F211E">
        <w:rPr>
          <w:rFonts w:ascii="Garamond" w:hAnsi="Garamond" w:cstheme="majorBidi"/>
          <w:sz w:val="24"/>
          <w:szCs w:val="24"/>
          <w:lang w:val="en-US"/>
        </w:rPr>
        <w:t>. Islam disebarkan oleh para ulama dan pedagang dari arab, gujarat, dan persia melalui jalur perdagangan di selat malaka</w:t>
      </w:r>
      <w:r w:rsidRPr="001F211E">
        <w:rPr>
          <w:rStyle w:val="FootnoteReference"/>
          <w:rFonts w:ascii="Garamond" w:hAnsi="Garamond" w:cstheme="majorBidi"/>
          <w:sz w:val="24"/>
          <w:szCs w:val="24"/>
          <w:lang w:val="en-US"/>
        </w:rPr>
        <w:footnoteReference w:id="27"/>
      </w:r>
      <w:r w:rsidRPr="001F211E">
        <w:rPr>
          <w:rFonts w:ascii="Garamond" w:hAnsi="Garamond" w:cstheme="majorBidi"/>
          <w:sz w:val="24"/>
          <w:szCs w:val="24"/>
          <w:lang w:val="en-US"/>
        </w:rPr>
        <w:t>. Proses islamisasi berlangsung secara damai dan bertahap, dengan pendekatan akomodatif terhadap budaya lokal, sehingga melahirkan sintesis budaya yang dikenal dengan prinsip adat bersendikan syarak, syarak bersendikan kitabullah</w:t>
      </w:r>
      <w:r w:rsidRPr="001F211E">
        <w:rPr>
          <w:rStyle w:val="FootnoteReference"/>
          <w:rFonts w:ascii="Garamond" w:hAnsi="Garamond" w:cstheme="majorBidi"/>
          <w:sz w:val="24"/>
          <w:szCs w:val="24"/>
          <w:lang w:val="en-US"/>
        </w:rPr>
        <w:footnoteReference w:id="28"/>
      </w:r>
      <w:r w:rsidRPr="001F211E">
        <w:rPr>
          <w:rFonts w:ascii="Garamond" w:hAnsi="Garamond" w:cstheme="majorBidi"/>
          <w:sz w:val="24"/>
          <w:szCs w:val="24"/>
          <w:lang w:val="en-US"/>
        </w:rPr>
        <w:t>. Prinsip ini menjadi landasan filosofis bagi seluruh tata kehidupan masyarakat melayu inhil, di mana adat istiadat harus sejalan dengan ajaran islam</w:t>
      </w:r>
      <w:r w:rsidRPr="001F211E">
        <w:rPr>
          <w:rStyle w:val="FootnoteReference"/>
          <w:rFonts w:ascii="Garamond" w:hAnsi="Garamond" w:cstheme="majorBidi"/>
          <w:sz w:val="24"/>
          <w:szCs w:val="24"/>
          <w:lang w:val="en-US"/>
        </w:rPr>
        <w:footnoteReference w:id="29"/>
      </w:r>
      <w:r w:rsidRPr="001F211E">
        <w:rPr>
          <w:rFonts w:ascii="Garamond" w:hAnsi="Garamond" w:cstheme="majorBidi"/>
          <w:sz w:val="24"/>
          <w:szCs w:val="24"/>
          <w:lang w:val="en-US"/>
        </w:rPr>
        <w:t>.</w:t>
      </w:r>
    </w:p>
    <w:p w14:paraId="5C8AC0BB"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Pada masa ini, kerajaan indragiri yang sebelumnya bercorak hindu-buddha berubah menjadi kesultanan islam</w:t>
      </w:r>
      <w:r w:rsidRPr="001F211E">
        <w:rPr>
          <w:rStyle w:val="FootnoteReference"/>
          <w:rFonts w:ascii="Garamond" w:hAnsi="Garamond" w:cstheme="majorBidi"/>
          <w:sz w:val="24"/>
          <w:szCs w:val="24"/>
          <w:lang w:val="en-US"/>
        </w:rPr>
        <w:footnoteReference w:id="30"/>
      </w:r>
      <w:r w:rsidRPr="001F211E">
        <w:rPr>
          <w:rFonts w:ascii="Garamond" w:hAnsi="Garamond" w:cstheme="majorBidi"/>
          <w:sz w:val="24"/>
          <w:szCs w:val="24"/>
          <w:lang w:val="en-US"/>
        </w:rPr>
        <w:t>. Sultan-sultan indragiri memainkan peran penting dalam mengintegrasikan nilai-nilai islam ke dalam sistem pemerintahan dan hukum adat</w:t>
      </w:r>
      <w:r w:rsidRPr="001F211E">
        <w:rPr>
          <w:rStyle w:val="FootnoteReference"/>
          <w:rFonts w:ascii="Garamond" w:hAnsi="Garamond" w:cstheme="majorBidi"/>
          <w:sz w:val="24"/>
          <w:szCs w:val="24"/>
          <w:lang w:val="en-US"/>
        </w:rPr>
        <w:footnoteReference w:id="31"/>
      </w:r>
      <w:r w:rsidRPr="001F211E">
        <w:rPr>
          <w:rFonts w:ascii="Garamond" w:hAnsi="Garamond" w:cstheme="majorBidi"/>
          <w:sz w:val="24"/>
          <w:szCs w:val="24"/>
          <w:lang w:val="en-US"/>
        </w:rPr>
        <w:t>. Bahasa melayu yang sebelumnya menggunakan aksara pallawa atau kawi mulai ditulis dengan aksara jawi (arab-melayu), yang kemudian menjadi media penyebaran ilmu pengetahuan dan sastra islam</w:t>
      </w:r>
      <w:r w:rsidRPr="001F211E">
        <w:rPr>
          <w:rStyle w:val="FootnoteReference"/>
          <w:rFonts w:ascii="Garamond" w:hAnsi="Garamond" w:cstheme="majorBidi"/>
          <w:sz w:val="24"/>
          <w:szCs w:val="24"/>
          <w:lang w:val="en-US"/>
        </w:rPr>
        <w:footnoteReference w:id="32"/>
      </w:r>
      <w:r w:rsidRPr="001F211E">
        <w:rPr>
          <w:rFonts w:ascii="Garamond" w:hAnsi="Garamond" w:cstheme="majorBidi"/>
          <w:sz w:val="24"/>
          <w:szCs w:val="24"/>
          <w:lang w:val="en-US"/>
        </w:rPr>
        <w:t>. Karya sastra melayu-islam seperti </w:t>
      </w:r>
      <w:r w:rsidRPr="001F211E">
        <w:rPr>
          <w:rFonts w:ascii="Garamond" w:hAnsi="Garamond" w:cstheme="majorBidi"/>
          <w:i/>
          <w:iCs/>
          <w:sz w:val="24"/>
          <w:szCs w:val="24"/>
          <w:lang w:val="en-US"/>
        </w:rPr>
        <w:t>hikayat indragiri</w:t>
      </w:r>
      <w:r w:rsidRPr="001F211E">
        <w:rPr>
          <w:rFonts w:ascii="Garamond" w:hAnsi="Garamond" w:cstheme="majorBidi"/>
          <w:caps/>
          <w:sz w:val="24"/>
          <w:szCs w:val="24"/>
          <w:lang w:val="en-US"/>
        </w:rPr>
        <w:t>, </w:t>
      </w:r>
      <w:r w:rsidRPr="001F211E">
        <w:rPr>
          <w:rFonts w:ascii="Garamond" w:hAnsi="Garamond" w:cstheme="majorBidi"/>
          <w:i/>
          <w:iCs/>
          <w:sz w:val="24"/>
          <w:szCs w:val="24"/>
          <w:lang w:val="en-US"/>
        </w:rPr>
        <w:t>syair perang indragiri</w:t>
      </w:r>
      <w:r w:rsidRPr="001F211E">
        <w:rPr>
          <w:rFonts w:ascii="Garamond" w:hAnsi="Garamond" w:cstheme="majorBidi"/>
          <w:sz w:val="24"/>
          <w:szCs w:val="24"/>
          <w:lang w:val="en-US"/>
        </w:rPr>
        <w:t>, dan kitab-kitab fikih dalam bahasa melayu mulai diproduksi dan menjadi rujukan penting bagi masyarakat</w:t>
      </w:r>
      <w:r w:rsidRPr="001F211E">
        <w:rPr>
          <w:rStyle w:val="FootnoteReference"/>
          <w:rFonts w:ascii="Garamond" w:hAnsi="Garamond" w:cstheme="majorBidi"/>
          <w:sz w:val="24"/>
          <w:szCs w:val="24"/>
          <w:lang w:val="en-US"/>
        </w:rPr>
        <w:footnoteReference w:id="33"/>
      </w:r>
      <w:r w:rsidRPr="001F211E">
        <w:rPr>
          <w:rFonts w:ascii="Garamond" w:hAnsi="Garamond" w:cstheme="majorBidi"/>
          <w:sz w:val="24"/>
          <w:szCs w:val="24"/>
          <w:lang w:val="en-US"/>
        </w:rPr>
        <w:t>.</w:t>
      </w:r>
    </w:p>
    <w:p w14:paraId="5210A4A4" w14:textId="77777777" w:rsidR="00FF634D" w:rsidRPr="001F211E" w:rsidRDefault="00FF634D" w:rsidP="00FF634D">
      <w:pPr>
        <w:spacing w:after="0" w:line="360" w:lineRule="auto"/>
        <w:ind w:firstLine="720"/>
        <w:jc w:val="both"/>
        <w:rPr>
          <w:rFonts w:ascii="Garamond" w:hAnsi="Garamond" w:cstheme="majorBidi"/>
          <w:sz w:val="24"/>
          <w:szCs w:val="24"/>
          <w:lang w:val="en-US"/>
        </w:rPr>
      </w:pPr>
      <w:r w:rsidRPr="001F211E">
        <w:rPr>
          <w:rFonts w:ascii="Garamond" w:hAnsi="Garamond" w:cstheme="majorBidi"/>
          <w:sz w:val="24"/>
          <w:szCs w:val="24"/>
          <w:lang w:val="en-US"/>
        </w:rPr>
        <w:t>Seni budaya juga mengalami islamisasi, misalnya pada seni musik </w:t>
      </w:r>
      <w:r w:rsidRPr="001F211E">
        <w:rPr>
          <w:rFonts w:ascii="Garamond" w:hAnsi="Garamond" w:cstheme="majorBidi"/>
          <w:i/>
          <w:iCs/>
          <w:sz w:val="24"/>
          <w:szCs w:val="24"/>
          <w:lang w:val="en-US"/>
        </w:rPr>
        <w:t>kompang</w:t>
      </w:r>
      <w:r w:rsidRPr="001F211E">
        <w:rPr>
          <w:rFonts w:ascii="Garamond" w:hAnsi="Garamond" w:cstheme="majorBidi"/>
          <w:sz w:val="24"/>
          <w:szCs w:val="24"/>
          <w:lang w:val="en-US"/>
        </w:rPr>
        <w:t> dan tari </w:t>
      </w:r>
      <w:r w:rsidRPr="001F211E">
        <w:rPr>
          <w:rFonts w:ascii="Garamond" w:hAnsi="Garamond" w:cstheme="majorBidi"/>
          <w:i/>
          <w:iCs/>
          <w:sz w:val="24"/>
          <w:szCs w:val="24"/>
          <w:lang w:val="en-US"/>
        </w:rPr>
        <w:t>zapin</w:t>
      </w:r>
      <w:r w:rsidRPr="001F211E">
        <w:rPr>
          <w:rFonts w:ascii="Garamond" w:hAnsi="Garamond" w:cstheme="majorBidi"/>
          <w:sz w:val="24"/>
          <w:szCs w:val="24"/>
          <w:lang w:val="en-US"/>
        </w:rPr>
        <w:t> yang awalnya memiliki unsur hindu-buddha kemudian diisi dengan syair-syair islami</w:t>
      </w:r>
      <w:r w:rsidRPr="001F211E">
        <w:rPr>
          <w:rStyle w:val="FootnoteReference"/>
          <w:rFonts w:ascii="Garamond" w:hAnsi="Garamond" w:cstheme="majorBidi"/>
          <w:sz w:val="24"/>
          <w:szCs w:val="24"/>
          <w:lang w:val="en-US"/>
        </w:rPr>
        <w:footnoteReference w:id="34"/>
      </w:r>
      <w:r w:rsidRPr="001F211E">
        <w:rPr>
          <w:rFonts w:ascii="Garamond" w:hAnsi="Garamond" w:cstheme="majorBidi"/>
          <w:sz w:val="24"/>
          <w:szCs w:val="24"/>
          <w:lang w:val="en-US"/>
        </w:rPr>
        <w:t>. Arsitektur masjid dan istana kerajaan mulai menampilkan gaya khas melayu-islam, dengan ornamen kaligrafi dan geometris yang menggantikan motif manusia dan hewan</w:t>
      </w:r>
      <w:r w:rsidRPr="001F211E">
        <w:rPr>
          <w:rStyle w:val="FootnoteReference"/>
          <w:rFonts w:ascii="Garamond" w:hAnsi="Garamond" w:cstheme="majorBidi"/>
          <w:sz w:val="24"/>
          <w:szCs w:val="24"/>
          <w:lang w:val="en-US"/>
        </w:rPr>
        <w:footnoteReference w:id="35"/>
      </w:r>
      <w:r w:rsidRPr="001F211E">
        <w:rPr>
          <w:rFonts w:ascii="Garamond" w:hAnsi="Garamond" w:cstheme="majorBidi"/>
          <w:sz w:val="24"/>
          <w:szCs w:val="24"/>
          <w:lang w:val="en-US"/>
        </w:rPr>
        <w:t>. Pendidikan islam melalui sistem </w:t>
      </w:r>
      <w:r w:rsidRPr="001F211E">
        <w:rPr>
          <w:rFonts w:ascii="Garamond" w:hAnsi="Garamond" w:cstheme="majorBidi"/>
          <w:i/>
          <w:iCs/>
          <w:sz w:val="24"/>
          <w:szCs w:val="24"/>
          <w:lang w:val="en-US"/>
        </w:rPr>
        <w:t>surau</w:t>
      </w:r>
      <w:r w:rsidRPr="001F211E">
        <w:rPr>
          <w:rFonts w:ascii="Garamond" w:hAnsi="Garamond" w:cstheme="majorBidi"/>
          <w:sz w:val="24"/>
          <w:szCs w:val="24"/>
          <w:lang w:val="en-US"/>
        </w:rPr>
        <w:t> dan </w:t>
      </w:r>
      <w:r w:rsidRPr="001F211E">
        <w:rPr>
          <w:rFonts w:ascii="Garamond" w:hAnsi="Garamond" w:cstheme="majorBidi"/>
          <w:i/>
          <w:iCs/>
          <w:sz w:val="24"/>
          <w:szCs w:val="24"/>
          <w:lang w:val="en-US"/>
        </w:rPr>
        <w:t>madrasah</w:t>
      </w:r>
      <w:r w:rsidRPr="001F211E">
        <w:rPr>
          <w:rFonts w:ascii="Garamond" w:hAnsi="Garamond" w:cstheme="majorBidi"/>
          <w:sz w:val="24"/>
          <w:szCs w:val="24"/>
          <w:lang w:val="en-US"/>
        </w:rPr>
        <w:t> juga berkembang pesat, menghasilkan intelektual muslim yang berperan dalam penyebaran agama dan budaya</w:t>
      </w:r>
      <w:r w:rsidRPr="001F211E">
        <w:rPr>
          <w:rStyle w:val="FootnoteReference"/>
          <w:rFonts w:ascii="Garamond" w:hAnsi="Garamond" w:cstheme="majorBidi"/>
          <w:sz w:val="24"/>
          <w:szCs w:val="24"/>
          <w:lang w:val="en-US"/>
        </w:rPr>
        <w:footnoteReference w:id="36"/>
      </w:r>
      <w:r w:rsidRPr="001F211E">
        <w:rPr>
          <w:rFonts w:ascii="Garamond" w:hAnsi="Garamond" w:cstheme="majorBidi"/>
          <w:sz w:val="24"/>
          <w:szCs w:val="24"/>
          <w:lang w:val="en-US"/>
        </w:rPr>
        <w:t>.</w:t>
      </w:r>
    </w:p>
    <w:p w14:paraId="63891832" w14:textId="79660091" w:rsidR="00FF634D" w:rsidRPr="001F211E" w:rsidRDefault="00FF634D" w:rsidP="00FF634D">
      <w:pPr>
        <w:spacing w:after="0" w:line="360" w:lineRule="auto"/>
        <w:jc w:val="both"/>
        <w:rPr>
          <w:rFonts w:ascii="Garamond" w:hAnsi="Garamond" w:cstheme="majorBidi"/>
          <w:caps/>
          <w:sz w:val="24"/>
          <w:szCs w:val="24"/>
          <w:lang w:val="en-US"/>
        </w:rPr>
      </w:pPr>
      <w:r w:rsidRPr="001F211E">
        <w:rPr>
          <w:rFonts w:ascii="Garamond" w:hAnsi="Garamond" w:cstheme="majorBidi"/>
          <w:b/>
          <w:bCs/>
          <w:sz w:val="24"/>
          <w:szCs w:val="24"/>
          <w:lang w:val="en-US"/>
        </w:rPr>
        <w:lastRenderedPageBreak/>
        <w:t xml:space="preserve">Masa </w:t>
      </w:r>
      <w:r w:rsidR="00857290" w:rsidRPr="001F211E">
        <w:rPr>
          <w:rFonts w:ascii="Garamond" w:hAnsi="Garamond" w:cstheme="majorBidi"/>
          <w:b/>
          <w:bCs/>
          <w:sz w:val="24"/>
          <w:szCs w:val="24"/>
          <w:lang w:val="en-US"/>
        </w:rPr>
        <w:t>Kolonial Belanda Resistensi Dan Adaptasi Budaya</w:t>
      </w:r>
    </w:p>
    <w:p w14:paraId="1D72103B"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Kedatangan kolonial belanda ke indragiri hilir pada abad ke-19 membawa dampak signifikan terhadap kehidupan budaya masyarakat</w:t>
      </w:r>
      <w:r w:rsidRPr="001F211E">
        <w:rPr>
          <w:rStyle w:val="FootnoteReference"/>
          <w:rFonts w:ascii="Garamond" w:hAnsi="Garamond" w:cstheme="majorBidi"/>
          <w:sz w:val="24"/>
          <w:szCs w:val="24"/>
          <w:lang w:val="en-US"/>
        </w:rPr>
        <w:footnoteReference w:id="37"/>
      </w:r>
      <w:r w:rsidRPr="001F211E">
        <w:rPr>
          <w:rFonts w:ascii="Garamond" w:hAnsi="Garamond" w:cstheme="majorBidi"/>
          <w:sz w:val="24"/>
          <w:szCs w:val="24"/>
          <w:lang w:val="en-US"/>
        </w:rPr>
        <w:t>. Belanda menerapkan sistem pemerintahan indirect rule dengan memanfaatkan struktur kesultanan yang ada, tetapi dengan membatasi kewenangan sultan dalam urusan politik dan ekonomi</w:t>
      </w:r>
      <w:r w:rsidRPr="001F211E">
        <w:rPr>
          <w:rStyle w:val="FootnoteReference"/>
          <w:rFonts w:ascii="Garamond" w:hAnsi="Garamond" w:cstheme="majorBidi"/>
          <w:sz w:val="24"/>
          <w:szCs w:val="24"/>
          <w:lang w:val="en-US"/>
        </w:rPr>
        <w:footnoteReference w:id="38"/>
      </w:r>
      <w:r w:rsidRPr="001F211E">
        <w:rPr>
          <w:rFonts w:ascii="Garamond" w:hAnsi="Garamond" w:cstheme="majorBidi"/>
          <w:sz w:val="24"/>
          <w:szCs w:val="24"/>
          <w:lang w:val="en-US"/>
        </w:rPr>
        <w:t>. Kebijakan kolonial seperti cultuurstelsel (tanam paksa) dan monopoli perdagangan telah menyebabkan perubahan dalam pola hidup masyarakat, dari yang sebelumnya agraris dan maritim menjadi terpusat pada komoditas ekspor seperti karet dan kopra</w:t>
      </w:r>
      <w:r w:rsidRPr="001F211E">
        <w:rPr>
          <w:rStyle w:val="FootnoteReference"/>
          <w:rFonts w:ascii="Garamond" w:hAnsi="Garamond" w:cstheme="majorBidi"/>
          <w:sz w:val="24"/>
          <w:szCs w:val="24"/>
          <w:lang w:val="en-US"/>
        </w:rPr>
        <w:footnoteReference w:id="39"/>
      </w:r>
      <w:r w:rsidRPr="001F211E">
        <w:rPr>
          <w:rFonts w:ascii="Garamond" w:hAnsi="Garamond" w:cstheme="majorBidi"/>
          <w:sz w:val="24"/>
          <w:szCs w:val="24"/>
          <w:lang w:val="en-US"/>
        </w:rPr>
        <w:t>.</w:t>
      </w:r>
    </w:p>
    <w:p w14:paraId="3BE567A6"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Di tengah tekanan kolonial, budaya melayu di indragiri hilir menunjukkan daya tahan yang kuat melalui berbagai bentuk resistensi kultural</w:t>
      </w:r>
      <w:r w:rsidRPr="001F211E">
        <w:rPr>
          <w:rStyle w:val="FootnoteReference"/>
          <w:rFonts w:ascii="Garamond" w:hAnsi="Garamond" w:cstheme="majorBidi"/>
          <w:sz w:val="24"/>
          <w:szCs w:val="24"/>
          <w:lang w:val="en-US"/>
        </w:rPr>
        <w:footnoteReference w:id="40"/>
      </w:r>
      <w:r w:rsidRPr="001F211E">
        <w:rPr>
          <w:rFonts w:ascii="Garamond" w:hAnsi="Garamond" w:cstheme="majorBidi"/>
          <w:sz w:val="24"/>
          <w:szCs w:val="24"/>
          <w:lang w:val="en-US"/>
        </w:rPr>
        <w:t>. Masyarakat tetap mempertahankan bahasa melayu sebagai bahasa sehari-hari, meskipun belanda memperkenalkan bahasa belanda dalam administrasi</w:t>
      </w:r>
      <w:r w:rsidRPr="001F211E">
        <w:rPr>
          <w:rStyle w:val="FootnoteReference"/>
          <w:rFonts w:ascii="Garamond" w:hAnsi="Garamond" w:cstheme="majorBidi"/>
          <w:sz w:val="24"/>
          <w:szCs w:val="24"/>
          <w:lang w:val="en-US"/>
        </w:rPr>
        <w:footnoteReference w:id="41"/>
      </w:r>
      <w:r w:rsidRPr="001F211E">
        <w:rPr>
          <w:rFonts w:ascii="Garamond" w:hAnsi="Garamond" w:cstheme="majorBidi"/>
          <w:sz w:val="24"/>
          <w:szCs w:val="24"/>
          <w:lang w:val="en-US"/>
        </w:rPr>
        <w:t>. Sastra perlawanan juga berkembang, seperti syair-syair yang mengkritik penjajahan dan memuji perjuangan tokoh lokal</w:t>
      </w:r>
      <w:r w:rsidRPr="001F211E">
        <w:rPr>
          <w:rStyle w:val="FootnoteReference"/>
          <w:rFonts w:ascii="Garamond" w:hAnsi="Garamond" w:cstheme="majorBidi"/>
          <w:sz w:val="24"/>
          <w:szCs w:val="24"/>
          <w:lang w:val="en-US"/>
        </w:rPr>
        <w:footnoteReference w:id="42"/>
      </w:r>
      <w:r w:rsidRPr="001F211E">
        <w:rPr>
          <w:rFonts w:ascii="Garamond" w:hAnsi="Garamond" w:cstheme="majorBidi"/>
          <w:sz w:val="24"/>
          <w:szCs w:val="24"/>
          <w:lang w:val="en-US"/>
        </w:rPr>
        <w:t>. Seni bela diri </w:t>
      </w:r>
      <w:r w:rsidRPr="001F211E">
        <w:rPr>
          <w:rFonts w:ascii="Garamond" w:hAnsi="Garamond" w:cstheme="majorBidi"/>
          <w:i/>
          <w:iCs/>
          <w:sz w:val="24"/>
          <w:szCs w:val="24"/>
          <w:lang w:val="en-US"/>
        </w:rPr>
        <w:t>silat</w:t>
      </w:r>
      <w:r w:rsidRPr="001F211E">
        <w:rPr>
          <w:rFonts w:ascii="Garamond" w:hAnsi="Garamond" w:cstheme="majorBidi"/>
          <w:sz w:val="24"/>
          <w:szCs w:val="24"/>
          <w:lang w:val="en-US"/>
        </w:rPr>
        <w:t> dan seni perang tradisional digunakan sebagai media pelatihan fisik dan mental untuk melawan penjajah</w:t>
      </w:r>
      <w:r w:rsidRPr="001F211E">
        <w:rPr>
          <w:rStyle w:val="FootnoteReference"/>
          <w:rFonts w:ascii="Garamond" w:hAnsi="Garamond" w:cstheme="majorBidi"/>
          <w:sz w:val="24"/>
          <w:szCs w:val="24"/>
          <w:lang w:val="en-US"/>
        </w:rPr>
        <w:footnoteReference w:id="43"/>
      </w:r>
      <w:r w:rsidRPr="001F211E">
        <w:rPr>
          <w:rFonts w:ascii="Garamond" w:hAnsi="Garamond" w:cstheme="majorBidi"/>
          <w:sz w:val="24"/>
          <w:szCs w:val="24"/>
          <w:lang w:val="en-US"/>
        </w:rPr>
        <w:t>.</w:t>
      </w:r>
    </w:p>
    <w:p w14:paraId="6AC61854"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Namun, pengaruh barat juga tidak bisa dihindari. Beberapa kalangan bangsawan dan intelektual melayu mulai mengadopsi gaya hidup dan pendidikan barat</w:t>
      </w:r>
      <w:r w:rsidRPr="001F211E">
        <w:rPr>
          <w:rStyle w:val="FootnoteReference"/>
          <w:rFonts w:ascii="Garamond" w:hAnsi="Garamond" w:cstheme="majorBidi"/>
          <w:sz w:val="24"/>
          <w:szCs w:val="24"/>
          <w:lang w:val="en-US"/>
        </w:rPr>
        <w:footnoteReference w:id="44"/>
      </w:r>
      <w:r w:rsidRPr="001F211E">
        <w:rPr>
          <w:rFonts w:ascii="Garamond" w:hAnsi="Garamond" w:cstheme="majorBidi"/>
          <w:sz w:val="24"/>
          <w:szCs w:val="24"/>
          <w:lang w:val="en-US"/>
        </w:rPr>
        <w:t>. Arsitektur kolonial mulai muncul di pusat-pusat administrasi belanda, seperti di kota tembilahan, yang menggabungkan gaya eropa dengan iklim tropis</w:t>
      </w:r>
      <w:r w:rsidRPr="001F211E">
        <w:rPr>
          <w:rStyle w:val="FootnoteReference"/>
          <w:rFonts w:ascii="Garamond" w:hAnsi="Garamond" w:cstheme="majorBidi"/>
          <w:sz w:val="24"/>
          <w:szCs w:val="24"/>
          <w:lang w:val="en-US"/>
        </w:rPr>
        <w:footnoteReference w:id="45"/>
      </w:r>
      <w:r w:rsidRPr="001F211E">
        <w:rPr>
          <w:rFonts w:ascii="Garamond" w:hAnsi="Garamond" w:cstheme="majorBidi"/>
          <w:sz w:val="24"/>
          <w:szCs w:val="24"/>
          <w:lang w:val="en-US"/>
        </w:rPr>
        <w:t>. Dokumentasi budaya melayu oleh peneliti barat seperti r.o. winstedt dan j.l. swellenkrebel juga dimulai pada masa ini, meskipun seringkali mengandung bias orientalisme</w:t>
      </w:r>
      <w:r w:rsidRPr="001F211E">
        <w:rPr>
          <w:rStyle w:val="FootnoteReference"/>
          <w:rFonts w:ascii="Garamond" w:hAnsi="Garamond" w:cstheme="majorBidi"/>
          <w:sz w:val="24"/>
          <w:szCs w:val="24"/>
          <w:lang w:val="en-US"/>
        </w:rPr>
        <w:footnoteReference w:id="46"/>
      </w:r>
      <w:r w:rsidRPr="001F211E">
        <w:rPr>
          <w:rFonts w:ascii="Garamond" w:hAnsi="Garamond" w:cstheme="majorBidi"/>
          <w:sz w:val="24"/>
          <w:szCs w:val="24"/>
          <w:lang w:val="en-US"/>
        </w:rPr>
        <w:t>.</w:t>
      </w:r>
    </w:p>
    <w:p w14:paraId="4CA0443A" w14:textId="41F4E18F" w:rsidR="00FF634D" w:rsidRPr="001F211E" w:rsidRDefault="00FF634D" w:rsidP="00FF634D">
      <w:pPr>
        <w:spacing w:after="0" w:line="360" w:lineRule="auto"/>
        <w:jc w:val="both"/>
        <w:rPr>
          <w:rFonts w:ascii="Garamond" w:hAnsi="Garamond" w:cstheme="majorBidi"/>
          <w:caps/>
          <w:sz w:val="24"/>
          <w:szCs w:val="24"/>
          <w:lang w:val="en-US"/>
        </w:rPr>
      </w:pPr>
      <w:r w:rsidRPr="001F211E">
        <w:rPr>
          <w:rFonts w:ascii="Garamond" w:hAnsi="Garamond" w:cstheme="majorBidi"/>
          <w:b/>
          <w:bCs/>
          <w:sz w:val="24"/>
          <w:szCs w:val="24"/>
          <w:lang w:val="en-US"/>
        </w:rPr>
        <w:t xml:space="preserve">Masa </w:t>
      </w:r>
      <w:r w:rsidR="00857290" w:rsidRPr="001F211E">
        <w:rPr>
          <w:rFonts w:ascii="Garamond" w:hAnsi="Garamond" w:cstheme="majorBidi"/>
          <w:b/>
          <w:bCs/>
          <w:sz w:val="24"/>
          <w:szCs w:val="24"/>
          <w:lang w:val="en-US"/>
        </w:rPr>
        <w:t>Kemerdekaan Hingga Orde Baru: Nasionalisasi Dan Marginalisasi Budaya Lokal</w:t>
      </w:r>
    </w:p>
    <w:p w14:paraId="3B664CB2"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Setelah indonesia merdeka, budaya melayu di indragiri hilir menghadapi tantangan baru berupa kebijakan nasional yang cenderung menyeragamkan budaya di bawah payung identitas nasional</w:t>
      </w:r>
      <w:r w:rsidRPr="001F211E">
        <w:rPr>
          <w:rStyle w:val="FootnoteReference"/>
          <w:rFonts w:ascii="Garamond" w:hAnsi="Garamond" w:cstheme="majorBidi"/>
          <w:sz w:val="24"/>
          <w:szCs w:val="24"/>
          <w:lang w:val="en-US"/>
        </w:rPr>
        <w:footnoteReference w:id="47"/>
      </w:r>
      <w:r w:rsidRPr="001F211E">
        <w:rPr>
          <w:rFonts w:ascii="Garamond" w:hAnsi="Garamond" w:cstheme="majorBidi"/>
          <w:sz w:val="24"/>
          <w:szCs w:val="24"/>
          <w:lang w:val="en-US"/>
        </w:rPr>
        <w:t xml:space="preserve">. Di bawah pemerintahan orde baru, budaya daerah seringkali dimarginalisasi dan hanya </w:t>
      </w:r>
      <w:r w:rsidRPr="001F211E">
        <w:rPr>
          <w:rFonts w:ascii="Garamond" w:hAnsi="Garamond" w:cstheme="majorBidi"/>
          <w:sz w:val="24"/>
          <w:szCs w:val="24"/>
          <w:lang w:val="en-US"/>
        </w:rPr>
        <w:lastRenderedPageBreak/>
        <w:t>diangkat sebagai simbol folklore tanpa diberi ruang untuk berkembang secara dinamis</w:t>
      </w:r>
      <w:r w:rsidRPr="001F211E">
        <w:rPr>
          <w:rStyle w:val="FootnoteReference"/>
          <w:rFonts w:ascii="Garamond" w:hAnsi="Garamond" w:cstheme="majorBidi"/>
          <w:sz w:val="24"/>
          <w:szCs w:val="24"/>
          <w:lang w:val="en-US"/>
        </w:rPr>
        <w:footnoteReference w:id="48"/>
      </w:r>
      <w:r w:rsidRPr="001F211E">
        <w:rPr>
          <w:rFonts w:ascii="Garamond" w:hAnsi="Garamond" w:cstheme="majorBidi"/>
          <w:sz w:val="24"/>
          <w:szCs w:val="24"/>
          <w:lang w:val="en-US"/>
        </w:rPr>
        <w:t>. Pembangunan infrastruktur dan industri ekstraktif seperti perkebunan dan pertambangan juga mengubah lanskap sosial-budaya masyarakat, dengan banyaknya pendatang dari luar daerah yang membawa budaya berbeda</w:t>
      </w:r>
      <w:r w:rsidRPr="001F211E">
        <w:rPr>
          <w:rStyle w:val="FootnoteReference"/>
          <w:rFonts w:ascii="Garamond" w:hAnsi="Garamond" w:cstheme="majorBidi"/>
          <w:sz w:val="24"/>
          <w:szCs w:val="24"/>
          <w:lang w:val="en-US"/>
        </w:rPr>
        <w:footnoteReference w:id="49"/>
      </w:r>
      <w:r w:rsidRPr="001F211E">
        <w:rPr>
          <w:rFonts w:ascii="Garamond" w:hAnsi="Garamond" w:cstheme="majorBidi"/>
          <w:sz w:val="24"/>
          <w:szCs w:val="24"/>
          <w:lang w:val="en-US"/>
        </w:rPr>
        <w:t>.</w:t>
      </w:r>
    </w:p>
    <w:p w14:paraId="5E992A85"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Meskipun demikian, lembaga adat seperti lembaga adat melayu riau (lamr) cabang indragiri hilir tetap berupaya menjaga kelestarian budaya melalui berbagai kegiatan, seperti penyelenggaraan festival adat, pendokumentasian naskah kuno, dan sosialisasi nilai-nilai melayu kepada generasi muda</w:t>
      </w:r>
      <w:r w:rsidRPr="001F211E">
        <w:rPr>
          <w:rStyle w:val="FootnoteReference"/>
          <w:rFonts w:ascii="Garamond" w:hAnsi="Garamond" w:cstheme="majorBidi"/>
          <w:sz w:val="24"/>
          <w:szCs w:val="24"/>
          <w:lang w:val="en-US"/>
        </w:rPr>
        <w:footnoteReference w:id="50"/>
      </w:r>
      <w:r w:rsidRPr="001F211E">
        <w:rPr>
          <w:rFonts w:ascii="Garamond" w:hAnsi="Garamond" w:cstheme="majorBidi"/>
          <w:sz w:val="24"/>
          <w:szCs w:val="24"/>
          <w:lang w:val="en-US"/>
        </w:rPr>
        <w:t>. Bahasa melayu dialek indragiri tetap digunakan dalam komunikasi sehari-hari, meskipun pengaruh bahasa indonesia semakin kuat di media dan pendidikan formal</w:t>
      </w:r>
      <w:r w:rsidRPr="001F211E">
        <w:rPr>
          <w:rStyle w:val="FootnoteReference"/>
          <w:rFonts w:ascii="Garamond" w:hAnsi="Garamond" w:cstheme="majorBidi"/>
          <w:sz w:val="24"/>
          <w:szCs w:val="24"/>
          <w:lang w:val="en-US"/>
        </w:rPr>
        <w:footnoteReference w:id="51"/>
      </w:r>
      <w:r w:rsidRPr="001F211E">
        <w:rPr>
          <w:rFonts w:ascii="Garamond" w:hAnsi="Garamond" w:cstheme="majorBidi"/>
          <w:sz w:val="24"/>
          <w:szCs w:val="24"/>
          <w:lang w:val="en-US"/>
        </w:rPr>
        <w:t>. Seni pertunjukan seperti </w:t>
      </w:r>
      <w:r w:rsidRPr="001F211E">
        <w:rPr>
          <w:rFonts w:ascii="Garamond" w:hAnsi="Garamond" w:cstheme="majorBidi"/>
          <w:i/>
          <w:iCs/>
          <w:sz w:val="24"/>
          <w:szCs w:val="24"/>
          <w:lang w:val="en-US"/>
        </w:rPr>
        <w:t>teater bangsawan</w:t>
      </w:r>
      <w:r w:rsidRPr="001F211E">
        <w:rPr>
          <w:rFonts w:ascii="Garamond" w:hAnsi="Garamond" w:cstheme="majorBidi"/>
          <w:sz w:val="24"/>
          <w:szCs w:val="24"/>
          <w:lang w:val="en-US"/>
        </w:rPr>
        <w:t> dan </w:t>
      </w:r>
      <w:r w:rsidRPr="001F211E">
        <w:rPr>
          <w:rFonts w:ascii="Garamond" w:hAnsi="Garamond" w:cstheme="majorBidi"/>
          <w:i/>
          <w:iCs/>
          <w:sz w:val="24"/>
          <w:szCs w:val="24"/>
          <w:lang w:val="en-US"/>
        </w:rPr>
        <w:t>randai</w:t>
      </w:r>
      <w:r w:rsidRPr="001F211E">
        <w:rPr>
          <w:rFonts w:ascii="Garamond" w:hAnsi="Garamond" w:cstheme="majorBidi"/>
          <w:sz w:val="24"/>
          <w:szCs w:val="24"/>
          <w:lang w:val="en-US"/>
        </w:rPr>
        <w:t> masih dipentaskan, meskipun mulai bersaing dengan hiburan modern seperti film dan musik pop</w:t>
      </w:r>
      <w:r w:rsidRPr="001F211E">
        <w:rPr>
          <w:rStyle w:val="FootnoteReference"/>
          <w:rFonts w:ascii="Garamond" w:hAnsi="Garamond" w:cstheme="majorBidi"/>
          <w:sz w:val="24"/>
          <w:szCs w:val="24"/>
          <w:lang w:val="en-US"/>
        </w:rPr>
        <w:footnoteReference w:id="52"/>
      </w:r>
      <w:r w:rsidRPr="001F211E">
        <w:rPr>
          <w:rFonts w:ascii="Garamond" w:hAnsi="Garamond" w:cstheme="majorBidi"/>
          <w:sz w:val="24"/>
          <w:szCs w:val="24"/>
          <w:lang w:val="en-US"/>
        </w:rPr>
        <w:t>.</w:t>
      </w:r>
    </w:p>
    <w:p w14:paraId="350112B3" w14:textId="0876EF92" w:rsidR="00FF634D" w:rsidRPr="001F211E" w:rsidRDefault="00FF634D" w:rsidP="00FF634D">
      <w:pPr>
        <w:spacing w:after="0" w:line="360" w:lineRule="auto"/>
        <w:jc w:val="both"/>
        <w:rPr>
          <w:rFonts w:ascii="Garamond" w:hAnsi="Garamond" w:cstheme="majorBidi"/>
          <w:caps/>
          <w:sz w:val="24"/>
          <w:szCs w:val="24"/>
          <w:lang w:val="en-US"/>
        </w:rPr>
      </w:pPr>
      <w:r w:rsidRPr="001F211E">
        <w:rPr>
          <w:rFonts w:ascii="Garamond" w:hAnsi="Garamond" w:cstheme="majorBidi"/>
          <w:b/>
          <w:bCs/>
          <w:sz w:val="24"/>
          <w:szCs w:val="24"/>
          <w:lang w:val="en-US"/>
        </w:rPr>
        <w:t xml:space="preserve">Era </w:t>
      </w:r>
      <w:r w:rsidR="00857290" w:rsidRPr="001F211E">
        <w:rPr>
          <w:rFonts w:ascii="Garamond" w:hAnsi="Garamond" w:cstheme="majorBidi"/>
          <w:b/>
          <w:bCs/>
          <w:sz w:val="24"/>
          <w:szCs w:val="24"/>
          <w:lang w:val="en-US"/>
        </w:rPr>
        <w:t>Otonomi Daerah Kebangkitan Identitas Dan Tantangan Globalisasi</w:t>
      </w:r>
    </w:p>
    <w:p w14:paraId="05372377"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Penerapan otonomi daerah sejak tahun 1999 membuka ruang bagi kebangkitan identitas budaya melayu di indragiri hilir</w:t>
      </w:r>
      <w:r w:rsidRPr="001F211E">
        <w:rPr>
          <w:rStyle w:val="FootnoteReference"/>
          <w:rFonts w:ascii="Garamond" w:hAnsi="Garamond" w:cstheme="majorBidi"/>
          <w:sz w:val="24"/>
          <w:szCs w:val="24"/>
          <w:lang w:val="en-US"/>
        </w:rPr>
        <w:footnoteReference w:id="53"/>
      </w:r>
      <w:r w:rsidRPr="001F211E">
        <w:rPr>
          <w:rFonts w:ascii="Garamond" w:hAnsi="Garamond" w:cstheme="majorBidi"/>
          <w:sz w:val="24"/>
          <w:szCs w:val="24"/>
          <w:lang w:val="en-US"/>
        </w:rPr>
        <w:t>. Pemerintah daerah mulai mengalokasikan anggaran untuk program pelestarian budaya, seperti revitalisasi adat istiadat, pembangunan museum daerah, dan penyelenggaraan festival budaya tahunan</w:t>
      </w:r>
      <w:r w:rsidRPr="001F211E">
        <w:rPr>
          <w:rStyle w:val="FootnoteReference"/>
          <w:rFonts w:ascii="Garamond" w:hAnsi="Garamond" w:cstheme="majorBidi"/>
          <w:sz w:val="24"/>
          <w:szCs w:val="24"/>
          <w:lang w:val="en-US"/>
        </w:rPr>
        <w:footnoteReference w:id="54"/>
      </w:r>
      <w:r w:rsidRPr="001F211E">
        <w:rPr>
          <w:rFonts w:ascii="Garamond" w:hAnsi="Garamond" w:cstheme="majorBidi"/>
          <w:sz w:val="24"/>
          <w:szCs w:val="24"/>
          <w:lang w:val="en-US"/>
        </w:rPr>
        <w:t>. Perguruan tinggi lokal seperti universitas islam indragiri (unisi) juga mengambil peran aktif dalam penelitian dan pengabdian masyarakat berbasis budaya melayu</w:t>
      </w:r>
      <w:r w:rsidRPr="001F211E">
        <w:rPr>
          <w:rStyle w:val="FootnoteReference"/>
          <w:rFonts w:ascii="Garamond" w:hAnsi="Garamond" w:cstheme="majorBidi"/>
          <w:sz w:val="24"/>
          <w:szCs w:val="24"/>
          <w:lang w:val="en-US"/>
        </w:rPr>
        <w:footnoteReference w:id="55"/>
      </w:r>
      <w:r w:rsidRPr="001F211E">
        <w:rPr>
          <w:rFonts w:ascii="Garamond" w:hAnsi="Garamond" w:cstheme="majorBidi"/>
          <w:sz w:val="24"/>
          <w:szCs w:val="24"/>
          <w:lang w:val="en-US"/>
        </w:rPr>
        <w:t>.</w:t>
      </w:r>
    </w:p>
    <w:p w14:paraId="2F5835D1"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t>Namun, di sisi lain, globalisasi dan perkembangan teknologi informasi telah membawa pengaruh budaya asing yang semakin masif, terutama di kalangan generasi muda</w:t>
      </w:r>
      <w:r w:rsidRPr="001F211E">
        <w:rPr>
          <w:rStyle w:val="FootnoteReference"/>
          <w:rFonts w:ascii="Garamond" w:hAnsi="Garamond" w:cstheme="majorBidi"/>
          <w:sz w:val="24"/>
          <w:szCs w:val="24"/>
          <w:lang w:val="en-US"/>
        </w:rPr>
        <w:footnoteReference w:id="56"/>
      </w:r>
      <w:r w:rsidRPr="001F211E">
        <w:rPr>
          <w:rFonts w:ascii="Garamond" w:hAnsi="Garamond" w:cstheme="majorBidi"/>
          <w:sz w:val="24"/>
          <w:szCs w:val="24"/>
          <w:lang w:val="en-US"/>
        </w:rPr>
        <w:t>. Banyak pemuda inhil yang lebih tertarik pada budaya pop korea, musik barat, atau gaya hidup perkotaan, sehingga merasa asing dengan budaya tradisional sendiri</w:t>
      </w:r>
      <w:r w:rsidRPr="001F211E">
        <w:rPr>
          <w:rStyle w:val="FootnoteReference"/>
          <w:rFonts w:ascii="Garamond" w:hAnsi="Garamond" w:cstheme="majorBidi"/>
          <w:sz w:val="24"/>
          <w:szCs w:val="24"/>
          <w:lang w:val="en-US"/>
        </w:rPr>
        <w:footnoteReference w:id="57"/>
      </w:r>
      <w:r w:rsidRPr="001F211E">
        <w:rPr>
          <w:rFonts w:ascii="Garamond" w:hAnsi="Garamond" w:cstheme="majorBidi"/>
          <w:sz w:val="24"/>
          <w:szCs w:val="24"/>
          <w:lang w:val="en-US"/>
        </w:rPr>
        <w:t>. Selain itu, degradasi lingkungan akibat alih fungsi lahan dan perubahan iklim juga mengancam keberlanjutan sumber daya budaya, seperti tanaman obat tradisional dan bahan baku kerajinan</w:t>
      </w:r>
      <w:r w:rsidRPr="001F211E">
        <w:rPr>
          <w:rStyle w:val="FootnoteReference"/>
          <w:rFonts w:ascii="Garamond" w:hAnsi="Garamond" w:cstheme="majorBidi"/>
          <w:sz w:val="24"/>
          <w:szCs w:val="24"/>
          <w:lang w:val="en-US"/>
        </w:rPr>
        <w:footnoteReference w:id="58"/>
      </w:r>
      <w:r w:rsidRPr="001F211E">
        <w:rPr>
          <w:rFonts w:ascii="Garamond" w:hAnsi="Garamond" w:cstheme="majorBidi"/>
          <w:caps/>
          <w:sz w:val="24"/>
          <w:szCs w:val="24"/>
          <w:lang w:val="en-US"/>
        </w:rPr>
        <w:t>.</w:t>
      </w:r>
    </w:p>
    <w:p w14:paraId="6615657F" w14:textId="77777777" w:rsidR="00FF634D" w:rsidRPr="001F211E" w:rsidRDefault="00FF634D" w:rsidP="00FF634D">
      <w:pPr>
        <w:spacing w:after="0" w:line="360" w:lineRule="auto"/>
        <w:ind w:firstLine="720"/>
        <w:jc w:val="both"/>
        <w:rPr>
          <w:rFonts w:ascii="Garamond" w:hAnsi="Garamond" w:cstheme="majorBidi"/>
          <w:caps/>
          <w:sz w:val="24"/>
          <w:szCs w:val="24"/>
          <w:lang w:val="en-US"/>
        </w:rPr>
      </w:pPr>
      <w:r w:rsidRPr="001F211E">
        <w:rPr>
          <w:rFonts w:ascii="Garamond" w:hAnsi="Garamond" w:cstheme="majorBidi"/>
          <w:sz w:val="24"/>
          <w:szCs w:val="24"/>
          <w:lang w:val="en-US"/>
        </w:rPr>
        <w:lastRenderedPageBreak/>
        <w:t>Untuk menghadapi tantangan ini, diperlukan strategi pelestarian budaya yang inovatif dan adaptif, seperti digitalisasi naskah kuno, pengembangan konten budaya di media sosial, dan integrasi kearifan lokal dalam kurikulum pendidikan</w:t>
      </w:r>
      <w:r w:rsidRPr="001F211E">
        <w:rPr>
          <w:rStyle w:val="FootnoteReference"/>
          <w:rFonts w:ascii="Garamond" w:hAnsi="Garamond" w:cstheme="majorBidi"/>
          <w:sz w:val="24"/>
          <w:szCs w:val="24"/>
          <w:lang w:val="en-US"/>
        </w:rPr>
        <w:footnoteReference w:id="59"/>
      </w:r>
      <w:r w:rsidRPr="001F211E">
        <w:rPr>
          <w:rFonts w:ascii="Garamond" w:hAnsi="Garamond" w:cstheme="majorBidi"/>
          <w:sz w:val="24"/>
          <w:szCs w:val="24"/>
          <w:lang w:val="en-US"/>
        </w:rPr>
        <w:t>. Kolaborasi antara pemerintah, akademisi, komunitas adat, dan sektor swasta juga menjadi kunci untuk menciptakan ekosistem budaya yang berkelanjutan</w:t>
      </w:r>
      <w:r w:rsidRPr="001F211E">
        <w:rPr>
          <w:rStyle w:val="FootnoteReference"/>
          <w:rFonts w:ascii="Garamond" w:hAnsi="Garamond" w:cstheme="majorBidi"/>
          <w:sz w:val="24"/>
          <w:szCs w:val="24"/>
          <w:lang w:val="en-US"/>
        </w:rPr>
        <w:footnoteReference w:id="60"/>
      </w:r>
      <w:r w:rsidRPr="001F211E">
        <w:rPr>
          <w:rFonts w:ascii="Garamond" w:hAnsi="Garamond" w:cstheme="majorBidi"/>
          <w:sz w:val="24"/>
          <w:szCs w:val="24"/>
          <w:lang w:val="en-US"/>
        </w:rPr>
        <w:t>.</w:t>
      </w:r>
    </w:p>
    <w:p w14:paraId="58589AA8" w14:textId="77777777" w:rsidR="0074347D" w:rsidRPr="00707655" w:rsidRDefault="0074347D" w:rsidP="00D5617E">
      <w:pPr>
        <w:spacing w:after="0" w:line="240" w:lineRule="auto"/>
        <w:rPr>
          <w:rFonts w:ascii="Garamond" w:hAnsi="Garamond" w:cs="Times New Roman"/>
          <w:b/>
          <w:sz w:val="24"/>
          <w:szCs w:val="24"/>
        </w:rPr>
      </w:pPr>
    </w:p>
    <w:p w14:paraId="5A3211E5" w14:textId="0904BE7F"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KESIMPULAN </w:t>
      </w:r>
    </w:p>
    <w:p w14:paraId="3DBEDD73" w14:textId="5C85CFBF" w:rsidR="00FF634D" w:rsidRPr="001F211E" w:rsidRDefault="00FF634D" w:rsidP="00FF634D">
      <w:pPr>
        <w:pStyle w:val="Style13"/>
        <w:rPr>
          <w:rFonts w:ascii="Garamond" w:hAnsi="Garamond" w:cstheme="majorBidi"/>
          <w:bCs w:val="0"/>
          <w:caps/>
          <w:sz w:val="24"/>
          <w:szCs w:val="24"/>
          <w:lang w:val="en-US"/>
        </w:rPr>
      </w:pPr>
      <w:r w:rsidRPr="001F211E">
        <w:rPr>
          <w:rFonts w:ascii="Garamond" w:hAnsi="Garamond" w:cstheme="majorBidi"/>
          <w:bCs w:val="0"/>
          <w:sz w:val="24"/>
          <w:szCs w:val="24"/>
          <w:lang w:val="en-US"/>
        </w:rPr>
        <w:t>Sejarah perkembangan budaya melayu di indragiri hilir merupakan sebuah narasi panjang tentang ketahanan, adaptasi, dan transformasi. Dari masa pra-islam yang dipengaruhi hindu-buddha, hingga islamisasi yang membentuk sintesis budaya yang unik, kemudian masa kolonial yang memicu resistensi, dan periode modern yang diwarnai oleh nasionalisasi dan globalisasi</w:t>
      </w:r>
      <w:r w:rsidR="00857290">
        <w:rPr>
          <w:rFonts w:ascii="Garamond" w:hAnsi="Garamond" w:cstheme="majorBidi"/>
          <w:bCs w:val="0"/>
          <w:sz w:val="24"/>
          <w:szCs w:val="24"/>
          <w:lang w:val="en-US"/>
        </w:rPr>
        <w:t xml:space="preserve"> </w:t>
      </w:r>
      <w:r w:rsidRPr="001F211E">
        <w:rPr>
          <w:rFonts w:ascii="Garamond" w:hAnsi="Garamond" w:cstheme="majorBidi"/>
          <w:bCs w:val="0"/>
          <w:sz w:val="24"/>
          <w:szCs w:val="24"/>
          <w:lang w:val="en-US"/>
        </w:rPr>
        <w:t>setiap fase telah meninggalkan jejak yang membentuk identitas budaya melayu inhil saat ini.</w:t>
      </w:r>
    </w:p>
    <w:p w14:paraId="5E42606A" w14:textId="024C6FBF" w:rsidR="00FF634D" w:rsidRPr="003A49FF" w:rsidRDefault="00FF634D" w:rsidP="00FF634D">
      <w:pPr>
        <w:pStyle w:val="Style13"/>
        <w:rPr>
          <w:rFonts w:ascii="Garamond" w:hAnsi="Garamond" w:cstheme="majorBidi"/>
          <w:bCs w:val="0"/>
          <w:caps/>
          <w:sz w:val="24"/>
          <w:szCs w:val="24"/>
          <w:lang w:val="en-US"/>
        </w:rPr>
      </w:pPr>
      <w:r w:rsidRPr="001F211E">
        <w:rPr>
          <w:rFonts w:ascii="Garamond" w:hAnsi="Garamond" w:cstheme="majorBidi"/>
          <w:bCs w:val="0"/>
          <w:sz w:val="24"/>
          <w:szCs w:val="24"/>
          <w:lang w:val="en-US"/>
        </w:rPr>
        <w:t>Budaya melayu di indragiri hilir bukanlah entitas yang statis, melainkan dinamis dan terus berubah seiring waktu. Namun, di tengah perubahan tersebut, nilai-nilai inti seperti prinsip </w:t>
      </w:r>
      <w:r w:rsidRPr="001F211E">
        <w:rPr>
          <w:rFonts w:ascii="Garamond" w:hAnsi="Garamond" w:cstheme="majorBidi"/>
          <w:bCs w:val="0"/>
          <w:i/>
          <w:iCs/>
          <w:sz w:val="24"/>
          <w:szCs w:val="24"/>
          <w:lang w:val="en-US"/>
        </w:rPr>
        <w:t>"adat bersendikan syarak"</w:t>
      </w:r>
      <w:r w:rsidRPr="001F211E">
        <w:rPr>
          <w:rFonts w:ascii="Garamond" w:hAnsi="Garamond" w:cstheme="majorBidi"/>
          <w:bCs w:val="0"/>
          <w:sz w:val="24"/>
          <w:szCs w:val="24"/>
          <w:lang w:val="en-US"/>
        </w:rPr>
        <w:t>, rasa hormat kepada sesama, dan kearifan lingkungan tetap dipertahankan sebagai fondasi identitas kolektif. Tantangan ke depan, terutama dari globalisasi dan perubahan generasi, memerlukan pendekatan pelestarian yang tidak hanya bersifat konservatif, tetapi juga partisipatif dan berbasis teknologi.</w:t>
      </w:r>
      <w:r>
        <w:rPr>
          <w:rFonts w:ascii="Garamond" w:hAnsi="Garamond" w:cstheme="majorBidi"/>
          <w:bCs w:val="0"/>
          <w:caps/>
          <w:sz w:val="24"/>
          <w:szCs w:val="24"/>
          <w:lang w:val="en-US"/>
        </w:rPr>
        <w:t xml:space="preserve"> </w:t>
      </w:r>
      <w:r w:rsidRPr="001F211E">
        <w:rPr>
          <w:rFonts w:ascii="Garamond" w:hAnsi="Garamond" w:cstheme="majorBidi"/>
          <w:bCs w:val="0"/>
          <w:sz w:val="24"/>
          <w:szCs w:val="24"/>
          <w:lang w:val="en-US"/>
        </w:rPr>
        <w:t>Peran berbagai pemangku kepentinganmulai dari pemerintah daerah, lembaga adat, perguruan tinggi, hingga komunitas budaya</w:t>
      </w:r>
      <w:r w:rsidR="00857290">
        <w:rPr>
          <w:rFonts w:ascii="Garamond" w:hAnsi="Garamond" w:cstheme="majorBidi"/>
          <w:bCs w:val="0"/>
          <w:sz w:val="24"/>
          <w:szCs w:val="24"/>
          <w:lang w:val="en-US"/>
        </w:rPr>
        <w:t xml:space="preserve"> </w:t>
      </w:r>
      <w:bookmarkStart w:id="1" w:name="_GoBack"/>
      <w:bookmarkEnd w:id="1"/>
      <w:r w:rsidRPr="001F211E">
        <w:rPr>
          <w:rFonts w:ascii="Garamond" w:hAnsi="Garamond" w:cstheme="majorBidi"/>
          <w:bCs w:val="0"/>
          <w:sz w:val="24"/>
          <w:szCs w:val="24"/>
          <w:lang w:val="en-US"/>
        </w:rPr>
        <w:t>sangat penting dalam menjaga keberlanjutan warisan budaya ini. Dengan sinergi yang baik, budaya melayu di indragiri hilir tidak hanya akan lestari sebagai memori kolektif, tetapi juga dapat menjadi sumber inspirasi dan pembangunan berkelanjutan di masa depan.</w:t>
      </w:r>
    </w:p>
    <w:p w14:paraId="750CBE71" w14:textId="77777777" w:rsidR="0074347D" w:rsidRPr="00707655" w:rsidRDefault="0074347D" w:rsidP="00D5617E">
      <w:pPr>
        <w:spacing w:after="0" w:line="240" w:lineRule="auto"/>
        <w:jc w:val="both"/>
        <w:rPr>
          <w:rFonts w:ascii="Garamond" w:hAnsi="Garamond" w:cs="Times New Roman"/>
          <w:b/>
          <w:sz w:val="24"/>
          <w:szCs w:val="24"/>
        </w:rPr>
      </w:pPr>
    </w:p>
    <w:p w14:paraId="04F2F3AF" w14:textId="3379A1F8"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UCAPAN TERIMA KASIH </w:t>
      </w:r>
    </w:p>
    <w:p w14:paraId="777B3326" w14:textId="54362057" w:rsidR="0074347D" w:rsidRPr="00FF634D" w:rsidRDefault="00FF634D" w:rsidP="00FF634D">
      <w:pPr>
        <w:pStyle w:val="Style13"/>
        <w:rPr>
          <w:rFonts w:ascii="Garamond" w:hAnsi="Garamond" w:cs="Arial"/>
          <w:bCs w:val="0"/>
          <w:sz w:val="24"/>
          <w:shd w:val="clear" w:color="auto" w:fill="FFFFFF"/>
        </w:rPr>
      </w:pPr>
      <w:r w:rsidRPr="001F211E">
        <w:rPr>
          <w:rFonts w:ascii="Garamond" w:hAnsi="Garamond" w:cstheme="majorBidi"/>
          <w:sz w:val="24"/>
          <w:szCs w:val="24"/>
        </w:rPr>
        <w:t xml:space="preserve">Terimakasih pada lembaga </w:t>
      </w:r>
      <w:r w:rsidR="00D5617E">
        <w:rPr>
          <w:rStyle w:val="Strong"/>
          <w:rFonts w:ascii="Garamond" w:hAnsi="Garamond" w:cs="Arial"/>
          <w:b w:val="0"/>
          <w:sz w:val="24"/>
          <w:shd w:val="clear" w:color="auto" w:fill="FFFFFF"/>
        </w:rPr>
        <w:t>NIPAH: Jurnal Pelita Studi Islam dan Humaniora</w:t>
      </w:r>
      <w:r>
        <w:rPr>
          <w:rFonts w:ascii="Garamond" w:eastAsia="SimSun" w:hAnsi="Garamond" w:cs="Arial"/>
          <w:spacing w:val="-1"/>
          <w:sz w:val="24"/>
          <w:szCs w:val="24"/>
          <w:lang w:val="en-US"/>
        </w:rPr>
        <w:t xml:space="preserve"> yang memfasilitasi penerbitan artikel ini.</w:t>
      </w:r>
    </w:p>
    <w:p w14:paraId="4C6629F2" w14:textId="77777777" w:rsidR="0074347D" w:rsidRPr="00707655" w:rsidRDefault="0074347D" w:rsidP="00D5617E">
      <w:pPr>
        <w:spacing w:after="0" w:line="240" w:lineRule="auto"/>
        <w:ind w:firstLine="720"/>
        <w:jc w:val="both"/>
        <w:rPr>
          <w:rFonts w:ascii="Garamond" w:hAnsi="Garamond" w:cs="Times New Roman"/>
          <w:sz w:val="24"/>
          <w:szCs w:val="24"/>
        </w:rPr>
      </w:pPr>
      <w:r w:rsidRPr="00707655">
        <w:rPr>
          <w:rFonts w:ascii="Garamond" w:hAnsi="Garamond" w:cs="Times New Roman"/>
          <w:sz w:val="24"/>
          <w:szCs w:val="24"/>
        </w:rPr>
        <w:t>.</w:t>
      </w:r>
    </w:p>
    <w:p w14:paraId="06640D8C" w14:textId="3B837DAD" w:rsidR="0074347D" w:rsidRPr="00707655" w:rsidRDefault="0074347D" w:rsidP="00D5617E">
      <w:pPr>
        <w:spacing w:after="0" w:line="240" w:lineRule="auto"/>
        <w:rPr>
          <w:rFonts w:ascii="Garamond" w:hAnsi="Garamond" w:cs="Times New Roman"/>
          <w:b/>
          <w:sz w:val="24"/>
          <w:szCs w:val="24"/>
        </w:rPr>
      </w:pPr>
      <w:r w:rsidRPr="00707655">
        <w:rPr>
          <w:rFonts w:ascii="Garamond" w:hAnsi="Garamond" w:cs="Times New Roman"/>
          <w:b/>
          <w:sz w:val="24"/>
          <w:szCs w:val="24"/>
        </w:rPr>
        <w:t xml:space="preserve">DAFTAR PUSTAKA </w:t>
      </w:r>
    </w:p>
    <w:p w14:paraId="39CEC017" w14:textId="77777777" w:rsidR="00FF634D" w:rsidRPr="00FF634D" w:rsidRDefault="0074347D" w:rsidP="00FF634D">
      <w:pPr>
        <w:pStyle w:val="Style7"/>
        <w:ind w:left="720" w:hanging="720"/>
        <w:rPr>
          <w:rFonts w:cstheme="majorBidi"/>
          <w:lang w:val="en-US"/>
        </w:rPr>
      </w:pPr>
      <w:r w:rsidRPr="00707655">
        <w:t xml:space="preserve"> </w:t>
      </w:r>
      <w:bookmarkEnd w:id="0"/>
      <w:r w:rsidR="00FF634D" w:rsidRPr="00FF634D">
        <w:rPr>
          <w:rFonts w:cstheme="majorBidi"/>
          <w:lang w:val="en-US"/>
        </w:rPr>
        <w:t>Abdul Rahman, M. F. (2020). </w:t>
      </w:r>
      <w:r w:rsidR="00FF634D" w:rsidRPr="00FF634D">
        <w:rPr>
          <w:rFonts w:cstheme="majorBidi"/>
          <w:i/>
          <w:iCs/>
          <w:lang w:val="en-US"/>
        </w:rPr>
        <w:t>Naskah Melayu Indragiri: Kajian Filologis dan Historis</w:t>
      </w:r>
      <w:r w:rsidR="00FF634D" w:rsidRPr="00FF634D">
        <w:rPr>
          <w:rFonts w:cstheme="majorBidi"/>
          <w:lang w:val="en-US"/>
        </w:rPr>
        <w:t>. Pekanbaru: Unilak Press.</w:t>
      </w:r>
    </w:p>
    <w:p w14:paraId="4BABFB1C" w14:textId="77777777" w:rsidR="00FF634D" w:rsidRPr="00FF634D" w:rsidRDefault="00FF634D" w:rsidP="00FF634D">
      <w:pPr>
        <w:pStyle w:val="Style7"/>
        <w:ind w:left="720" w:hanging="720"/>
        <w:rPr>
          <w:rFonts w:cstheme="majorBidi"/>
          <w:lang w:val="en-US"/>
        </w:rPr>
      </w:pPr>
      <w:r w:rsidRPr="00FF634D">
        <w:rPr>
          <w:rFonts w:cstheme="majorBidi"/>
          <w:lang w:val="en-US"/>
        </w:rPr>
        <w:t>Andaya, L. Y. (2008). </w:t>
      </w:r>
      <w:r w:rsidRPr="00FF634D">
        <w:rPr>
          <w:rFonts w:cstheme="majorBidi"/>
          <w:i/>
          <w:iCs/>
          <w:lang w:val="en-US"/>
        </w:rPr>
        <w:t>Leaves of the Same Tree: Trade and Ethnicity in the Straits of Melaka</w:t>
      </w:r>
      <w:r w:rsidRPr="00FF634D">
        <w:rPr>
          <w:rFonts w:cstheme="majorBidi"/>
          <w:lang w:val="en-US"/>
        </w:rPr>
        <w:t>. Honolulu: University of Hawaii Press.</w:t>
      </w:r>
    </w:p>
    <w:p w14:paraId="1FCD4953" w14:textId="77777777" w:rsidR="00FF634D" w:rsidRPr="00FF634D" w:rsidRDefault="00FF634D" w:rsidP="00FF634D">
      <w:pPr>
        <w:pStyle w:val="Style7"/>
        <w:ind w:left="720" w:hanging="720"/>
        <w:rPr>
          <w:rFonts w:cstheme="majorBidi"/>
          <w:lang w:val="en-US"/>
        </w:rPr>
      </w:pPr>
      <w:r w:rsidRPr="00FF634D">
        <w:rPr>
          <w:rFonts w:cstheme="majorBidi"/>
          <w:lang w:val="en-US"/>
        </w:rPr>
        <w:lastRenderedPageBreak/>
        <w:t>Barnard, T. P. (2004). </w:t>
      </w:r>
      <w:r w:rsidRPr="00FF634D">
        <w:rPr>
          <w:rFonts w:cstheme="majorBidi"/>
          <w:i/>
          <w:iCs/>
          <w:lang w:val="en-US"/>
        </w:rPr>
        <w:t>Contesting Malayness: Malay Identity Across Boundaries</w:t>
      </w:r>
      <w:r w:rsidRPr="00FF634D">
        <w:rPr>
          <w:rFonts w:cstheme="majorBidi"/>
          <w:lang w:val="en-US"/>
        </w:rPr>
        <w:t>. Singapore: NUS Press.</w:t>
      </w:r>
    </w:p>
    <w:p w14:paraId="2182BB10" w14:textId="77777777" w:rsidR="00FF634D" w:rsidRPr="00FF634D" w:rsidRDefault="00FF634D" w:rsidP="00FF634D">
      <w:pPr>
        <w:pStyle w:val="Style7"/>
        <w:ind w:left="720" w:hanging="720"/>
        <w:rPr>
          <w:rFonts w:cstheme="majorBidi"/>
          <w:lang w:val="en-US"/>
        </w:rPr>
      </w:pPr>
      <w:r w:rsidRPr="00FF634D">
        <w:rPr>
          <w:rFonts w:cstheme="majorBidi"/>
          <w:lang w:val="en-US"/>
        </w:rPr>
        <w:t>Djamaris, E. (2002). </w:t>
      </w:r>
      <w:r w:rsidRPr="00FF634D">
        <w:rPr>
          <w:rFonts w:cstheme="majorBidi"/>
          <w:i/>
          <w:iCs/>
          <w:lang w:val="en-US"/>
        </w:rPr>
        <w:t>Pengantar Sastra Rakyat Minangkabau</w:t>
      </w:r>
      <w:r w:rsidRPr="00FF634D">
        <w:rPr>
          <w:rFonts w:cstheme="majorBidi"/>
          <w:lang w:val="en-US"/>
        </w:rPr>
        <w:t>. Jakarta: Yayasan Obor Indonesia.</w:t>
      </w:r>
    </w:p>
    <w:p w14:paraId="2F4F1A59" w14:textId="77777777" w:rsidR="00FF634D" w:rsidRPr="00FF634D" w:rsidRDefault="00FF634D" w:rsidP="00FF634D">
      <w:pPr>
        <w:pStyle w:val="Style7"/>
        <w:ind w:left="720" w:hanging="720"/>
        <w:rPr>
          <w:rFonts w:cstheme="majorBidi"/>
          <w:lang w:val="en-US"/>
        </w:rPr>
      </w:pPr>
      <w:r w:rsidRPr="00FF634D">
        <w:rPr>
          <w:rFonts w:cstheme="majorBidi"/>
          <w:lang w:val="en-US"/>
        </w:rPr>
        <w:t>Effendi, T. (2015). </w:t>
      </w:r>
      <w:r w:rsidRPr="00FF634D">
        <w:rPr>
          <w:rFonts w:cstheme="majorBidi"/>
          <w:i/>
          <w:iCs/>
          <w:lang w:val="en-US"/>
        </w:rPr>
        <w:t>Sejarah Kesultanan Indragiri</w:t>
      </w:r>
      <w:r w:rsidRPr="00FF634D">
        <w:rPr>
          <w:rFonts w:cstheme="majorBidi"/>
          <w:lang w:val="en-US"/>
        </w:rPr>
        <w:t>. Tembilahan: Dinas Pendidikan dan Kebudayaan Inhil.</w:t>
      </w:r>
    </w:p>
    <w:p w14:paraId="08B29164" w14:textId="77777777" w:rsidR="00FF634D" w:rsidRPr="00FF634D" w:rsidRDefault="00FF634D" w:rsidP="00FF634D">
      <w:pPr>
        <w:pStyle w:val="Style7"/>
        <w:ind w:left="720" w:hanging="720"/>
        <w:rPr>
          <w:rFonts w:cstheme="majorBidi"/>
          <w:lang w:val="en-US"/>
        </w:rPr>
      </w:pPr>
      <w:r w:rsidRPr="00FF634D">
        <w:rPr>
          <w:rFonts w:cstheme="majorBidi"/>
          <w:lang w:val="en-US"/>
        </w:rPr>
        <w:t>Gallop, A. T. (2019). </w:t>
      </w:r>
      <w:r w:rsidRPr="00FF634D">
        <w:rPr>
          <w:rFonts w:cstheme="majorBidi"/>
          <w:i/>
          <w:iCs/>
          <w:lang w:val="en-US"/>
        </w:rPr>
        <w:t>The Legacy of the Malay Letter</w:t>
      </w:r>
      <w:r w:rsidRPr="00FF634D">
        <w:rPr>
          <w:rFonts w:cstheme="majorBidi"/>
          <w:lang w:val="en-US"/>
        </w:rPr>
        <w:t>. London: British Library.</w:t>
      </w:r>
    </w:p>
    <w:p w14:paraId="458060A0" w14:textId="77777777" w:rsidR="00FF634D" w:rsidRPr="00FF634D" w:rsidRDefault="00FF634D" w:rsidP="00FF634D">
      <w:pPr>
        <w:pStyle w:val="Style7"/>
        <w:ind w:left="720" w:hanging="720"/>
        <w:rPr>
          <w:rFonts w:cstheme="majorBidi"/>
          <w:lang w:val="en-US"/>
        </w:rPr>
      </w:pPr>
      <w:r w:rsidRPr="00FF634D">
        <w:rPr>
          <w:rFonts w:cstheme="majorBidi"/>
          <w:lang w:val="en-US"/>
        </w:rPr>
        <w:t>Hashim, M. Y. (2017). </w:t>
      </w:r>
      <w:r w:rsidRPr="00FF634D">
        <w:rPr>
          <w:rFonts w:cstheme="majorBidi"/>
          <w:i/>
          <w:iCs/>
          <w:lang w:val="en-US"/>
        </w:rPr>
        <w:t>Islam dan Budaya Melayu: Transformasi dan Kontinuitas</w:t>
      </w:r>
      <w:r w:rsidRPr="00FF634D">
        <w:rPr>
          <w:rFonts w:cstheme="majorBidi"/>
          <w:lang w:val="en-US"/>
        </w:rPr>
        <w:t>. Kuala Lumpur: Dewan Bahasa dan Pustaka.</w:t>
      </w:r>
    </w:p>
    <w:p w14:paraId="6907B5E9" w14:textId="77777777" w:rsidR="00FF634D" w:rsidRPr="00FF634D" w:rsidRDefault="00FF634D" w:rsidP="00FF634D">
      <w:pPr>
        <w:pStyle w:val="Style7"/>
        <w:ind w:left="720" w:hanging="720"/>
        <w:rPr>
          <w:rFonts w:cstheme="majorBidi"/>
          <w:lang w:val="en-US"/>
        </w:rPr>
      </w:pPr>
      <w:r w:rsidRPr="00FF634D">
        <w:rPr>
          <w:rFonts w:cstheme="majorBidi"/>
          <w:lang w:val="en-US"/>
        </w:rPr>
        <w:t>Heng, D. (2018). </w:t>
      </w:r>
      <w:r w:rsidRPr="00FF634D">
        <w:rPr>
          <w:rFonts w:cstheme="majorBidi"/>
          <w:i/>
          <w:iCs/>
          <w:lang w:val="en-US"/>
        </w:rPr>
        <w:t>Sino–Malay Trade and Diplomacy from the Tenth Through the Fourteenth Century</w:t>
      </w:r>
      <w:r w:rsidRPr="00FF634D">
        <w:rPr>
          <w:rFonts w:cstheme="majorBidi"/>
          <w:lang w:val="en-US"/>
        </w:rPr>
        <w:t>. Athens: Ohio University Press.</w:t>
      </w:r>
    </w:p>
    <w:p w14:paraId="67DA990A" w14:textId="77777777" w:rsidR="00FF634D" w:rsidRPr="00FF634D" w:rsidRDefault="00FF634D" w:rsidP="00FF634D">
      <w:pPr>
        <w:pStyle w:val="Style7"/>
        <w:ind w:left="720" w:hanging="720"/>
        <w:rPr>
          <w:rFonts w:cstheme="majorBidi"/>
          <w:lang w:val="en-US"/>
        </w:rPr>
      </w:pPr>
      <w:r w:rsidRPr="00FF634D">
        <w:rPr>
          <w:rFonts w:cstheme="majorBidi"/>
          <w:lang w:val="en-US"/>
        </w:rPr>
        <w:t>Ikram, A. (2016). </w:t>
      </w:r>
      <w:r w:rsidRPr="00FF634D">
        <w:rPr>
          <w:rFonts w:cstheme="majorBidi"/>
          <w:i/>
          <w:iCs/>
          <w:lang w:val="en-US"/>
        </w:rPr>
        <w:t>Naskah Kuno Nusantara</w:t>
      </w:r>
      <w:r w:rsidRPr="00FF634D">
        <w:rPr>
          <w:rFonts w:cstheme="majorBidi"/>
          <w:lang w:val="en-US"/>
        </w:rPr>
        <w:t>. Jakarta: Pusat Bahasa.</w:t>
      </w:r>
    </w:p>
    <w:p w14:paraId="482DF5F7" w14:textId="77777777" w:rsidR="00FF634D" w:rsidRPr="00FF634D" w:rsidRDefault="00FF634D" w:rsidP="00FF634D">
      <w:pPr>
        <w:pStyle w:val="Style7"/>
        <w:ind w:left="720" w:hanging="720"/>
        <w:rPr>
          <w:rFonts w:cstheme="majorBidi"/>
          <w:lang w:val="en-US"/>
        </w:rPr>
      </w:pPr>
      <w:r w:rsidRPr="00FF634D">
        <w:rPr>
          <w:rFonts w:cstheme="majorBidi"/>
          <w:lang w:val="en-US"/>
        </w:rPr>
        <w:t>Jamil, A. (2013). </w:t>
      </w:r>
      <w:r w:rsidRPr="00FF634D">
        <w:rPr>
          <w:rFonts w:cstheme="majorBidi"/>
          <w:i/>
          <w:iCs/>
          <w:lang w:val="en-US"/>
        </w:rPr>
        <w:t>Adat Bersendikan Syarak: Filsafat Hidup Orang Melayu</w:t>
      </w:r>
      <w:r w:rsidRPr="00FF634D">
        <w:rPr>
          <w:rFonts w:cstheme="majorBidi"/>
          <w:lang w:val="en-US"/>
        </w:rPr>
        <w:t>. Pekanbaru: Al-Mujtahadah Press.</w:t>
      </w:r>
    </w:p>
    <w:p w14:paraId="2641DCB3" w14:textId="77777777" w:rsidR="00FF634D" w:rsidRPr="00FF634D" w:rsidRDefault="00FF634D" w:rsidP="00FF634D">
      <w:pPr>
        <w:pStyle w:val="Style7"/>
        <w:ind w:left="720" w:hanging="720"/>
        <w:rPr>
          <w:rFonts w:cstheme="majorBidi"/>
          <w:lang w:val="en-US"/>
        </w:rPr>
      </w:pPr>
      <w:r w:rsidRPr="00FF634D">
        <w:rPr>
          <w:rFonts w:cstheme="majorBidi"/>
          <w:lang w:val="en-US"/>
        </w:rPr>
        <w:t>Kartodirdjo, S. (1992). </w:t>
      </w:r>
      <w:r w:rsidRPr="00FF634D">
        <w:rPr>
          <w:rFonts w:cstheme="majorBidi"/>
          <w:i/>
          <w:iCs/>
          <w:lang w:val="en-US"/>
        </w:rPr>
        <w:t>Pendekatan Ilmu Sosial dalam Metodologi Sejarah</w:t>
      </w:r>
      <w:r w:rsidRPr="00FF634D">
        <w:rPr>
          <w:rFonts w:cstheme="majorBidi"/>
          <w:lang w:val="en-US"/>
        </w:rPr>
        <w:t>. Jakarta: Gramedia Pustaka Utama.</w:t>
      </w:r>
    </w:p>
    <w:p w14:paraId="47BC7BF2" w14:textId="77777777" w:rsidR="00FF634D" w:rsidRPr="00FF634D" w:rsidRDefault="00FF634D" w:rsidP="00FF634D">
      <w:pPr>
        <w:pStyle w:val="Style7"/>
        <w:ind w:left="720" w:hanging="720"/>
        <w:rPr>
          <w:rFonts w:cstheme="majorBidi"/>
          <w:lang w:val="en-US"/>
        </w:rPr>
      </w:pPr>
      <w:r w:rsidRPr="00FF634D">
        <w:rPr>
          <w:rFonts w:cstheme="majorBidi"/>
          <w:lang w:val="en-US"/>
        </w:rPr>
        <w:t>Lombard, D. (1996). </w:t>
      </w:r>
      <w:r w:rsidRPr="00FF634D">
        <w:rPr>
          <w:rFonts w:cstheme="majorBidi"/>
          <w:i/>
          <w:iCs/>
          <w:lang w:val="en-US"/>
        </w:rPr>
        <w:t>Nusa Jawa: Silang Budaya</w:t>
      </w:r>
      <w:r w:rsidRPr="00FF634D">
        <w:rPr>
          <w:rFonts w:cstheme="majorBidi"/>
          <w:lang w:val="en-US"/>
        </w:rPr>
        <w:t>. Jakarta: Gramedia.</w:t>
      </w:r>
    </w:p>
    <w:p w14:paraId="24EBC03E" w14:textId="77777777" w:rsidR="00FF634D" w:rsidRPr="00FF634D" w:rsidRDefault="00FF634D" w:rsidP="00FF634D">
      <w:pPr>
        <w:pStyle w:val="Style7"/>
        <w:ind w:left="720" w:hanging="720"/>
        <w:rPr>
          <w:rFonts w:cstheme="majorBidi"/>
          <w:lang w:val="en-US"/>
        </w:rPr>
      </w:pPr>
      <w:r w:rsidRPr="00FF634D">
        <w:rPr>
          <w:rFonts w:cstheme="majorBidi"/>
          <w:lang w:val="en-US"/>
        </w:rPr>
        <w:t>Mulyadi, S. W. (2011). </w:t>
      </w:r>
      <w:r w:rsidRPr="00FF634D">
        <w:rPr>
          <w:rFonts w:cstheme="majorBidi"/>
          <w:i/>
          <w:iCs/>
          <w:lang w:val="en-US"/>
        </w:rPr>
        <w:t>Hikayat Indragiri: Suntingan Teks dan Analisis Struktur</w:t>
      </w:r>
      <w:r w:rsidRPr="00FF634D">
        <w:rPr>
          <w:rFonts w:cstheme="majorBidi"/>
          <w:lang w:val="en-US"/>
        </w:rPr>
        <w:t>. Depok: Universitas Indonesia Press.</w:t>
      </w:r>
    </w:p>
    <w:p w14:paraId="033ACF63" w14:textId="77777777" w:rsidR="00FF634D" w:rsidRPr="00FF634D" w:rsidRDefault="00FF634D" w:rsidP="00FF634D">
      <w:pPr>
        <w:pStyle w:val="Style7"/>
        <w:ind w:left="720" w:hanging="720"/>
        <w:rPr>
          <w:rFonts w:cstheme="majorBidi"/>
          <w:lang w:val="en-US"/>
        </w:rPr>
      </w:pPr>
      <w:r w:rsidRPr="00FF634D">
        <w:rPr>
          <w:rFonts w:cstheme="majorBidi"/>
          <w:lang w:val="en-US"/>
        </w:rPr>
        <w:t>Noor, F. A. (2012). *The Discursive Construction of Southeast Asia in 19th Century Colonial-Capitalist Discourse*. Amsterdam: Amsterdam University Press.</w:t>
      </w:r>
    </w:p>
    <w:p w14:paraId="0232B9AC" w14:textId="77777777" w:rsidR="00FF634D" w:rsidRPr="00FF634D" w:rsidRDefault="00FF634D" w:rsidP="00FF634D">
      <w:pPr>
        <w:pStyle w:val="Style7"/>
        <w:ind w:left="720" w:hanging="720"/>
        <w:rPr>
          <w:rFonts w:cstheme="majorBidi"/>
          <w:lang w:val="en-US"/>
        </w:rPr>
      </w:pPr>
      <w:r w:rsidRPr="00FF634D">
        <w:rPr>
          <w:rFonts w:cstheme="majorBidi"/>
          <w:lang w:val="en-US"/>
        </w:rPr>
        <w:t>Riddell, P. G. (2017). </w:t>
      </w:r>
      <w:r w:rsidRPr="00FF634D">
        <w:rPr>
          <w:rFonts w:cstheme="majorBidi"/>
          <w:i/>
          <w:iCs/>
          <w:lang w:val="en-US"/>
        </w:rPr>
        <w:t>Malay Court Religion, Culture and Language: Interpreting the Qur</w:t>
      </w:r>
      <w:r w:rsidRPr="00FF634D">
        <w:rPr>
          <w:rFonts w:ascii="Times New Roman" w:hAnsi="Times New Roman"/>
          <w:i/>
          <w:iCs/>
          <w:lang w:val="en-US"/>
        </w:rPr>
        <w:t>ʾ</w:t>
      </w:r>
      <w:r w:rsidRPr="00FF634D">
        <w:rPr>
          <w:rFonts w:cstheme="majorBidi"/>
          <w:i/>
          <w:iCs/>
          <w:lang w:val="en-US"/>
        </w:rPr>
        <w:t>an in 17th Century Aceh</w:t>
      </w:r>
      <w:r w:rsidRPr="00FF634D">
        <w:rPr>
          <w:rFonts w:cstheme="majorBidi"/>
          <w:lang w:val="en-US"/>
        </w:rPr>
        <w:t>. Leiden: Brill.</w:t>
      </w:r>
    </w:p>
    <w:p w14:paraId="6F09B182" w14:textId="77777777" w:rsidR="00FF634D" w:rsidRPr="00FF634D" w:rsidRDefault="00FF634D" w:rsidP="00FF634D">
      <w:pPr>
        <w:pStyle w:val="Style7"/>
        <w:ind w:left="720" w:hanging="720"/>
        <w:rPr>
          <w:rFonts w:cstheme="majorBidi"/>
          <w:lang w:val="en-US"/>
        </w:rPr>
      </w:pPr>
      <w:r w:rsidRPr="00FF634D">
        <w:rPr>
          <w:rFonts w:cstheme="majorBidi"/>
          <w:lang w:val="en-US"/>
        </w:rPr>
        <w:t>Suryadi. (2014). </w:t>
      </w:r>
      <w:r w:rsidRPr="00FF634D">
        <w:rPr>
          <w:rFonts w:cstheme="majorBidi"/>
          <w:i/>
          <w:iCs/>
          <w:lang w:val="en-US"/>
        </w:rPr>
        <w:t>Sejarah dan Budaya Melayu Riau</w:t>
      </w:r>
      <w:r w:rsidRPr="00FF634D">
        <w:rPr>
          <w:rFonts w:cstheme="majorBidi"/>
          <w:lang w:val="en-US"/>
        </w:rPr>
        <w:t>. Pekanbaru: Unri Press.</w:t>
      </w:r>
    </w:p>
    <w:p w14:paraId="61EBB7A3" w14:textId="77777777" w:rsidR="00FF634D" w:rsidRPr="00FF634D" w:rsidRDefault="00FF634D" w:rsidP="00FF634D">
      <w:pPr>
        <w:pStyle w:val="Style7"/>
        <w:ind w:left="720" w:hanging="720"/>
        <w:rPr>
          <w:rFonts w:cstheme="majorBidi"/>
          <w:lang w:val="en-US"/>
        </w:rPr>
      </w:pPr>
      <w:r w:rsidRPr="00FF634D">
        <w:rPr>
          <w:rFonts w:cstheme="majorBidi"/>
          <w:lang w:val="en-US"/>
        </w:rPr>
        <w:t>Teeuw, A. (1994). </w:t>
      </w:r>
      <w:r w:rsidRPr="00FF634D">
        <w:rPr>
          <w:rFonts w:cstheme="majorBidi"/>
          <w:i/>
          <w:iCs/>
          <w:lang w:val="en-US"/>
        </w:rPr>
        <w:t>History of Malay Literature</w:t>
      </w:r>
      <w:r w:rsidRPr="00FF634D">
        <w:rPr>
          <w:rFonts w:cstheme="majorBidi"/>
          <w:lang w:val="en-US"/>
        </w:rPr>
        <w:t>. Leiden: KITLV Press.</w:t>
      </w:r>
    </w:p>
    <w:p w14:paraId="2AF0E4AC" w14:textId="77777777" w:rsidR="00FF634D" w:rsidRPr="00FF634D" w:rsidRDefault="00FF634D" w:rsidP="00FF634D">
      <w:pPr>
        <w:pStyle w:val="Style7"/>
        <w:ind w:left="720" w:hanging="720"/>
        <w:rPr>
          <w:rFonts w:cstheme="majorBidi"/>
          <w:lang w:val="en-US"/>
        </w:rPr>
      </w:pPr>
      <w:r w:rsidRPr="00FF634D">
        <w:rPr>
          <w:rFonts w:cstheme="majorBidi"/>
          <w:lang w:val="en-US"/>
        </w:rPr>
        <w:t>Winstedt, R. O. (1982). </w:t>
      </w:r>
      <w:r w:rsidRPr="00FF634D">
        <w:rPr>
          <w:rFonts w:cstheme="majorBidi"/>
          <w:i/>
          <w:iCs/>
          <w:lang w:val="en-US"/>
        </w:rPr>
        <w:t>The Malays: A Cultural History</w:t>
      </w:r>
      <w:r w:rsidRPr="00FF634D">
        <w:rPr>
          <w:rFonts w:cstheme="majorBidi"/>
          <w:lang w:val="en-US"/>
        </w:rPr>
        <w:t>. Singapore: Graham Brash.</w:t>
      </w:r>
    </w:p>
    <w:p w14:paraId="76816902" w14:textId="77777777" w:rsidR="00FF634D" w:rsidRPr="00FF634D" w:rsidRDefault="00FF634D" w:rsidP="00FF634D">
      <w:pPr>
        <w:pStyle w:val="Style7"/>
        <w:ind w:left="720" w:hanging="720"/>
        <w:rPr>
          <w:rFonts w:cstheme="majorBidi"/>
          <w:lang w:val="en-US"/>
        </w:rPr>
      </w:pPr>
      <w:r w:rsidRPr="00FF634D">
        <w:rPr>
          <w:rFonts w:cstheme="majorBidi"/>
          <w:lang w:val="en-US"/>
        </w:rPr>
        <w:t>Yatim, O. M. (1998). </w:t>
      </w:r>
      <w:r w:rsidRPr="00FF634D">
        <w:rPr>
          <w:rFonts w:cstheme="majorBidi"/>
          <w:i/>
          <w:iCs/>
          <w:lang w:val="en-US"/>
        </w:rPr>
        <w:t>Sejarah Melayu</w:t>
      </w:r>
      <w:r w:rsidRPr="00FF634D">
        <w:rPr>
          <w:rFonts w:cstheme="majorBidi"/>
          <w:lang w:val="en-US"/>
        </w:rPr>
        <w:t>. Kuala Lumpur: Dewan Bahasa dan Pustaka.</w:t>
      </w:r>
    </w:p>
    <w:p w14:paraId="5DA6595A" w14:textId="77777777" w:rsidR="00FF634D" w:rsidRPr="00FF634D" w:rsidRDefault="00FF634D" w:rsidP="00FF634D">
      <w:pPr>
        <w:pStyle w:val="Style7"/>
        <w:ind w:left="720" w:hanging="720"/>
        <w:rPr>
          <w:rFonts w:cstheme="majorBidi"/>
          <w:lang w:val="en-US"/>
        </w:rPr>
      </w:pPr>
      <w:r w:rsidRPr="00FF634D">
        <w:rPr>
          <w:rFonts w:cstheme="majorBidi"/>
          <w:lang w:val="en-US"/>
        </w:rPr>
        <w:t>Zainuddin, H. M. (2003). </w:t>
      </w:r>
      <w:r w:rsidRPr="00FF634D">
        <w:rPr>
          <w:rFonts w:cstheme="majorBidi"/>
          <w:i/>
          <w:iCs/>
          <w:lang w:val="en-US"/>
        </w:rPr>
        <w:t>Melayu Riau: Sejarah dan Budaya</w:t>
      </w:r>
      <w:r w:rsidRPr="00FF634D">
        <w:rPr>
          <w:rFonts w:cstheme="majorBidi"/>
          <w:lang w:val="en-US"/>
        </w:rPr>
        <w:t>. Pekanbaru: Penerbit Alaf Riau.</w:t>
      </w:r>
    </w:p>
    <w:p w14:paraId="45A63A28" w14:textId="77777777" w:rsidR="00FF634D" w:rsidRPr="00FF634D" w:rsidRDefault="00FF634D" w:rsidP="00FF634D">
      <w:pPr>
        <w:pStyle w:val="Style7"/>
        <w:ind w:left="720" w:hanging="720"/>
        <w:rPr>
          <w:rFonts w:cstheme="majorBidi"/>
          <w:lang w:val="en-US"/>
        </w:rPr>
      </w:pPr>
      <w:r w:rsidRPr="00FF634D">
        <w:rPr>
          <w:rFonts w:cstheme="majorBidi"/>
          <w:lang w:val="en-US"/>
        </w:rPr>
        <w:t>Laporan Pengabdian UNISI. (2023). </w:t>
      </w:r>
      <w:r w:rsidRPr="00FF634D">
        <w:rPr>
          <w:rFonts w:cstheme="majorBidi"/>
          <w:i/>
          <w:iCs/>
          <w:lang w:val="en-US"/>
        </w:rPr>
        <w:t>Program Pelestarian Budaya Melayu Indragiri Hilir</w:t>
      </w:r>
      <w:r w:rsidRPr="00FF634D">
        <w:rPr>
          <w:rFonts w:cstheme="majorBidi"/>
          <w:lang w:val="en-US"/>
        </w:rPr>
        <w:t>. Tembilahan: Universitas Islam Indragiri.</w:t>
      </w:r>
    </w:p>
    <w:p w14:paraId="1511E368" w14:textId="77777777" w:rsidR="00FF634D" w:rsidRPr="00FF634D" w:rsidRDefault="00FF634D" w:rsidP="00FF634D">
      <w:pPr>
        <w:pStyle w:val="Style7"/>
        <w:ind w:left="720" w:hanging="720"/>
        <w:rPr>
          <w:rFonts w:cstheme="majorBidi"/>
          <w:lang w:val="en-US"/>
        </w:rPr>
      </w:pPr>
      <w:r w:rsidRPr="00FF634D">
        <w:rPr>
          <w:rFonts w:cstheme="majorBidi"/>
          <w:lang w:val="en-US"/>
        </w:rPr>
        <w:t>Laporan Lingkungan Hidup Inhil. (2022). </w:t>
      </w:r>
      <w:r w:rsidRPr="00FF634D">
        <w:rPr>
          <w:rFonts w:cstheme="majorBidi"/>
          <w:i/>
          <w:iCs/>
          <w:lang w:val="en-US"/>
        </w:rPr>
        <w:t>Kondisi Lingkungan dan Sumber Daya Budaya Kabupaten Indragiri Hilir</w:t>
      </w:r>
      <w:r w:rsidRPr="00FF634D">
        <w:rPr>
          <w:rFonts w:cstheme="majorBidi"/>
          <w:lang w:val="en-US"/>
        </w:rPr>
        <w:t>. Tembilahan: Dinas Lingkungan Hidup Inhil.</w:t>
      </w:r>
    </w:p>
    <w:p w14:paraId="0AFDC3AB" w14:textId="19179C2A" w:rsidR="0074347D" w:rsidRPr="00707655" w:rsidRDefault="0074347D" w:rsidP="00FF634D">
      <w:pPr>
        <w:pStyle w:val="abstrak"/>
        <w:spacing w:line="360" w:lineRule="auto"/>
        <w:ind w:left="0" w:right="26" w:firstLine="540"/>
        <w:rPr>
          <w:rFonts w:ascii="Garamond" w:hAnsi="Garamond"/>
          <w:sz w:val="24"/>
        </w:rPr>
      </w:pPr>
    </w:p>
    <w:p w14:paraId="1B767524" w14:textId="77777777" w:rsidR="000A2EF3" w:rsidRPr="0074347D" w:rsidRDefault="000A2EF3" w:rsidP="00D5617E">
      <w:pPr>
        <w:spacing w:line="360" w:lineRule="auto"/>
      </w:pPr>
    </w:p>
    <w:sectPr w:rsidR="000A2EF3" w:rsidRPr="0074347D" w:rsidSect="00857290">
      <w:headerReference w:type="default" r:id="rId8"/>
      <w:footerReference w:type="default" r:id="rId9"/>
      <w:pgSz w:w="11906" w:h="16838"/>
      <w:pgMar w:top="1440" w:right="1440" w:bottom="1440" w:left="1440" w:header="708" w:footer="708" w:gutter="0"/>
      <w:pgNumType w:start="10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2F3D1" w14:textId="77777777" w:rsidR="00334D2D" w:rsidRDefault="00334D2D" w:rsidP="00F05D6C">
      <w:pPr>
        <w:spacing w:after="0" w:line="240" w:lineRule="auto"/>
      </w:pPr>
      <w:r>
        <w:separator/>
      </w:r>
    </w:p>
  </w:endnote>
  <w:endnote w:type="continuationSeparator" w:id="0">
    <w:p w14:paraId="5454919E" w14:textId="77777777" w:rsidR="00334D2D" w:rsidRDefault="00334D2D" w:rsidP="00F0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340655"/>
      <w:docPartObj>
        <w:docPartGallery w:val="Page Numbers (Bottom of Page)"/>
        <w:docPartUnique/>
      </w:docPartObj>
    </w:sdtPr>
    <w:sdtEndPr>
      <w:rPr>
        <w:noProof/>
      </w:rPr>
    </w:sdtEndPr>
    <w:sdtContent>
      <w:p w14:paraId="33F799DE" w14:textId="1323BA6C" w:rsidR="00857290" w:rsidRDefault="008572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A4EF0B" w14:textId="77777777" w:rsidR="00F40FAA" w:rsidRDefault="00F4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B6BBA" w14:textId="77777777" w:rsidR="00334D2D" w:rsidRDefault="00334D2D" w:rsidP="00F05D6C">
      <w:pPr>
        <w:spacing w:after="0" w:line="240" w:lineRule="auto"/>
      </w:pPr>
      <w:r>
        <w:separator/>
      </w:r>
    </w:p>
  </w:footnote>
  <w:footnote w:type="continuationSeparator" w:id="0">
    <w:p w14:paraId="0B12C0D6" w14:textId="77777777" w:rsidR="00334D2D" w:rsidRDefault="00334D2D" w:rsidP="00F05D6C">
      <w:pPr>
        <w:spacing w:after="0" w:line="240" w:lineRule="auto"/>
      </w:pPr>
      <w:r>
        <w:continuationSeparator/>
      </w:r>
    </w:p>
  </w:footnote>
  <w:footnote w:id="1">
    <w:p w14:paraId="41B59927"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Andaya, L. Y. (2008). </w:t>
      </w:r>
      <w:r w:rsidRPr="00FF634D">
        <w:rPr>
          <w:rFonts w:ascii="Garamond" w:hAnsi="Garamond" w:cstheme="minorHAnsi"/>
          <w:i/>
          <w:iCs/>
        </w:rPr>
        <w:t>Leaves of the Same Tree: Trade and Ethnicity in the Straits of Melaka</w:t>
      </w:r>
      <w:r w:rsidRPr="00FF634D">
        <w:rPr>
          <w:rFonts w:ascii="Garamond" w:hAnsi="Garamond" w:cstheme="minorHAnsi"/>
        </w:rPr>
        <w:t>. Honolulu: University of Hawaii Press, hlm. 45.</w:t>
      </w:r>
    </w:p>
  </w:footnote>
  <w:footnote w:id="2">
    <w:p w14:paraId="6EC1376B"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Effendi, T. (2015). </w:t>
      </w:r>
      <w:r w:rsidRPr="00FF634D">
        <w:rPr>
          <w:rFonts w:ascii="Garamond" w:hAnsi="Garamond" w:cstheme="minorHAnsi"/>
          <w:i/>
          <w:iCs/>
        </w:rPr>
        <w:t>Sejarah Kesultanan Indragiri</w:t>
      </w:r>
      <w:r w:rsidRPr="00FF634D">
        <w:rPr>
          <w:rFonts w:ascii="Garamond" w:hAnsi="Garamond" w:cstheme="minorHAnsi"/>
        </w:rPr>
        <w:t>. Tembilahan: Dinas Pendidikan dan Kebudayaan Inhil, hlm. 12–15.</w:t>
      </w:r>
    </w:p>
  </w:footnote>
  <w:footnote w:id="3">
    <w:p w14:paraId="0578044D"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Suryadi. (2014). </w:t>
      </w:r>
      <w:r w:rsidRPr="00FF634D">
        <w:rPr>
          <w:rFonts w:ascii="Garamond" w:hAnsi="Garamond" w:cstheme="minorHAnsi"/>
          <w:i/>
          <w:iCs/>
        </w:rPr>
        <w:t>Sejarah dan Budaya Melayu Riau</w:t>
      </w:r>
      <w:r w:rsidRPr="00FF634D">
        <w:rPr>
          <w:rFonts w:ascii="Garamond" w:hAnsi="Garamond" w:cstheme="minorHAnsi"/>
        </w:rPr>
        <w:t>. Pekanbaru: Unri Press, hlm. 89.</w:t>
      </w:r>
    </w:p>
  </w:footnote>
  <w:footnote w:id="4">
    <w:p w14:paraId="6849BE55"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Barnard, T. P. (2004). </w:t>
      </w:r>
      <w:r w:rsidRPr="00FF634D">
        <w:rPr>
          <w:rFonts w:ascii="Garamond" w:hAnsi="Garamond" w:cstheme="minorHAnsi"/>
          <w:i/>
          <w:iCs/>
        </w:rPr>
        <w:t>Contesting Malayness: Malay Identity Across Boundaries</w:t>
      </w:r>
      <w:r w:rsidRPr="00FF634D">
        <w:rPr>
          <w:rFonts w:ascii="Garamond" w:hAnsi="Garamond" w:cstheme="minorHAnsi"/>
        </w:rPr>
        <w:t>. Singapore: NUS Press, hlm. 102.</w:t>
      </w:r>
    </w:p>
  </w:footnote>
  <w:footnote w:id="5">
    <w:p w14:paraId="7017C434"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Jamil, A. (2013). </w:t>
      </w:r>
      <w:r w:rsidRPr="00FF634D">
        <w:rPr>
          <w:rFonts w:ascii="Garamond" w:hAnsi="Garamond" w:cstheme="minorHAnsi"/>
          <w:i/>
          <w:iCs/>
        </w:rPr>
        <w:t>Adat Bersendikan Syarak: Filsafat Hidup Orang Melayu</w:t>
      </w:r>
      <w:r w:rsidRPr="00FF634D">
        <w:rPr>
          <w:rFonts w:ascii="Garamond" w:hAnsi="Garamond" w:cstheme="minorHAnsi"/>
        </w:rPr>
        <w:t>. Pekanbaru: Al-Mujtahadah Press, hlm. 56.</w:t>
      </w:r>
    </w:p>
  </w:footnote>
  <w:footnote w:id="6">
    <w:p w14:paraId="5ACEEC5C"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Noor, F. A. (2012). *The Discursive Construction of Southeast Asia in 19th Century Colonial-Capitalist Discourse*. Amsterdam: Amsterdam University Press, hlm. 134.</w:t>
      </w:r>
    </w:p>
  </w:footnote>
  <w:footnote w:id="7">
    <w:p w14:paraId="4F4E6DCC"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Abdul Rahman, M. F. (2020). </w:t>
      </w:r>
      <w:r w:rsidRPr="00FF634D">
        <w:rPr>
          <w:rFonts w:ascii="Garamond" w:hAnsi="Garamond"/>
          <w:i/>
          <w:iCs/>
        </w:rPr>
        <w:t>Naskah Melayu Indragiri: Kajian Filologis dan Historis</w:t>
      </w:r>
      <w:r w:rsidRPr="00FF634D">
        <w:rPr>
          <w:rFonts w:ascii="Garamond" w:hAnsi="Garamond"/>
        </w:rPr>
        <w:t>. Pekanbaru: Unilak Press, hlm. 23.</w:t>
      </w:r>
    </w:p>
  </w:footnote>
  <w:footnote w:id="8">
    <w:p w14:paraId="0ED705ED"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Zainuddin, H. M. (2003). </w:t>
      </w:r>
      <w:r w:rsidRPr="00FF634D">
        <w:rPr>
          <w:rFonts w:ascii="Garamond" w:hAnsi="Garamond"/>
          <w:i/>
          <w:iCs/>
        </w:rPr>
        <w:t>Melayu Riau: Sejarah dan Budaya</w:t>
      </w:r>
      <w:r w:rsidRPr="00FF634D">
        <w:rPr>
          <w:rFonts w:ascii="Garamond" w:hAnsi="Garamond"/>
        </w:rPr>
        <w:t>. Pekanbaru: Penerbit Alaf Riau, hlm. 77.</w:t>
      </w:r>
    </w:p>
  </w:footnote>
  <w:footnote w:id="9">
    <w:p w14:paraId="19761927"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Kartodirdjo, S. (1992). </w:t>
      </w:r>
      <w:r w:rsidRPr="00FF634D">
        <w:rPr>
          <w:rFonts w:ascii="Garamond" w:hAnsi="Garamond"/>
          <w:i/>
          <w:iCs/>
        </w:rPr>
        <w:t>Pendekatan Ilmu Sosial dalam Metodologi Sejarah</w:t>
      </w:r>
      <w:r w:rsidRPr="00FF634D">
        <w:rPr>
          <w:rFonts w:ascii="Garamond" w:hAnsi="Garamond"/>
        </w:rPr>
        <w:t>. Jakarta: Gramedia Pustaka Utama, hlm. 65.</w:t>
      </w:r>
    </w:p>
  </w:footnote>
  <w:footnote w:id="10">
    <w:p w14:paraId="62AFB912"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Kartodirdjo, S. (1992). </w:t>
      </w:r>
      <w:r w:rsidRPr="00FF634D">
        <w:rPr>
          <w:rFonts w:ascii="Garamond" w:hAnsi="Garamond"/>
          <w:i/>
          <w:iCs/>
        </w:rPr>
        <w:t>Pendekatan Ilmu Sosial dalam Metodologi Sejarah</w:t>
      </w:r>
      <w:r w:rsidRPr="00FF634D">
        <w:rPr>
          <w:rFonts w:ascii="Garamond" w:hAnsi="Garamond"/>
        </w:rPr>
        <w:t>. Jakarta: Gramedia Pustaka Utama, hlm. 70.</w:t>
      </w:r>
    </w:p>
  </w:footnote>
  <w:footnote w:id="11">
    <w:p w14:paraId="0A5BC175"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Ikram, A. (2016). </w:t>
      </w:r>
      <w:r w:rsidRPr="00FF634D">
        <w:rPr>
          <w:rFonts w:ascii="Garamond" w:hAnsi="Garamond"/>
          <w:i/>
          <w:iCs/>
        </w:rPr>
        <w:t>Naskah Kuno Nusantara</w:t>
      </w:r>
      <w:r w:rsidRPr="00FF634D">
        <w:rPr>
          <w:rFonts w:ascii="Garamond" w:hAnsi="Garamond"/>
        </w:rPr>
        <w:t>. Jakarta: Pusat Bahasa, hlm. 112.</w:t>
      </w:r>
    </w:p>
  </w:footnote>
  <w:footnote w:id="12">
    <w:p w14:paraId="7D1957C7"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Gallop, A. T. (2019). </w:t>
      </w:r>
      <w:r w:rsidRPr="00FF634D">
        <w:rPr>
          <w:rFonts w:ascii="Garamond" w:hAnsi="Garamond"/>
          <w:i/>
          <w:iCs/>
        </w:rPr>
        <w:t>The Legacy of the Malay Letter</w:t>
      </w:r>
      <w:r w:rsidRPr="00FF634D">
        <w:rPr>
          <w:rFonts w:ascii="Garamond" w:hAnsi="Garamond"/>
        </w:rPr>
        <w:t>. London: British Library, hlm. 89.</w:t>
      </w:r>
    </w:p>
  </w:footnote>
  <w:footnote w:id="13">
    <w:p w14:paraId="504968ED"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Wawancara dengan Datuk Sri Abdul Malik, Tokoh Adat Inhil, 15 Februari 2024.</w:t>
      </w:r>
    </w:p>
  </w:footnote>
  <w:footnote w:id="14">
    <w:p w14:paraId="2B4B1AD9"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rPr>
        <w:footnoteRef/>
      </w:r>
      <w:r w:rsidRPr="00FF634D">
        <w:rPr>
          <w:rFonts w:ascii="Garamond" w:hAnsi="Garamond"/>
        </w:rPr>
        <w:t xml:space="preserve">  </w:t>
      </w:r>
      <w:r w:rsidRPr="00FF634D">
        <w:rPr>
          <w:rFonts w:ascii="Garamond" w:hAnsi="Garamond" w:cstheme="minorHAnsi"/>
        </w:rPr>
        <w:t>Mulyadi, S. W. (2011). </w:t>
      </w:r>
      <w:r w:rsidRPr="00FF634D">
        <w:rPr>
          <w:rFonts w:ascii="Garamond" w:hAnsi="Garamond" w:cstheme="minorHAnsi"/>
          <w:i/>
          <w:iCs/>
        </w:rPr>
        <w:t>Hikayat Indragiri: Suntingan Teks dan Analisis Struktur</w:t>
      </w:r>
      <w:r w:rsidRPr="00FF634D">
        <w:rPr>
          <w:rFonts w:ascii="Garamond" w:hAnsi="Garamond" w:cstheme="minorHAnsi"/>
        </w:rPr>
        <w:t>. Depok: Universitas Indonesia Press, hlm. 45.</w:t>
      </w:r>
    </w:p>
  </w:footnote>
  <w:footnote w:id="15">
    <w:p w14:paraId="7B51CCFF"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Djamaris, E. (2002). </w:t>
      </w:r>
      <w:r w:rsidRPr="00FF634D">
        <w:rPr>
          <w:rFonts w:ascii="Garamond" w:hAnsi="Garamond" w:cstheme="minorHAnsi"/>
          <w:i/>
          <w:iCs/>
        </w:rPr>
        <w:t>Pengantar Sastra Rakyat Minangkabau</w:t>
      </w:r>
      <w:r w:rsidRPr="00FF634D">
        <w:rPr>
          <w:rFonts w:ascii="Garamond" w:hAnsi="Garamond" w:cstheme="minorHAnsi"/>
        </w:rPr>
        <w:t>. Jakarta: Yayasan Obor Indonesia, hlm. 33.</w:t>
      </w:r>
    </w:p>
  </w:footnote>
  <w:footnote w:id="16">
    <w:p w14:paraId="0C324E7F"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Kartodirdjo, S. (1992). </w:t>
      </w:r>
      <w:r w:rsidRPr="00FF634D">
        <w:rPr>
          <w:rFonts w:ascii="Garamond" w:hAnsi="Garamond" w:cstheme="minorHAnsi"/>
          <w:i/>
          <w:iCs/>
        </w:rPr>
        <w:t>Pendekatan Ilmu Sosial dalam Metodologi Sejarah</w:t>
      </w:r>
      <w:r w:rsidRPr="00FF634D">
        <w:rPr>
          <w:rFonts w:ascii="Garamond" w:hAnsi="Garamond" w:cstheme="minorHAnsi"/>
        </w:rPr>
        <w:t>. Jakarta: Gramedia Pustaka Utama, hlm. 85.</w:t>
      </w:r>
    </w:p>
  </w:footnote>
  <w:footnote w:id="17">
    <w:p w14:paraId="00FA1B5B"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Lombard, D. (1996). </w:t>
      </w:r>
      <w:r w:rsidRPr="00FF634D">
        <w:rPr>
          <w:rFonts w:ascii="Garamond" w:hAnsi="Garamond" w:cstheme="minorHAnsi"/>
          <w:i/>
          <w:iCs/>
        </w:rPr>
        <w:t>Nusa Jawa: Silang Budaya</w:t>
      </w:r>
      <w:r w:rsidRPr="00FF634D">
        <w:rPr>
          <w:rFonts w:ascii="Garamond" w:hAnsi="Garamond" w:cstheme="minorHAnsi"/>
        </w:rPr>
        <w:t>. Jakarta: Gramedia, hlm. 156.</w:t>
      </w:r>
    </w:p>
  </w:footnote>
  <w:footnote w:id="18">
    <w:p w14:paraId="15F834E6"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Teeuw, A. (1994). </w:t>
      </w:r>
      <w:r w:rsidRPr="00FF634D">
        <w:rPr>
          <w:rFonts w:ascii="Garamond" w:hAnsi="Garamond" w:cstheme="minorHAnsi"/>
          <w:i/>
          <w:iCs/>
        </w:rPr>
        <w:t>History of Malay Literature</w:t>
      </w:r>
      <w:r w:rsidRPr="00FF634D">
        <w:rPr>
          <w:rFonts w:ascii="Garamond" w:hAnsi="Garamond" w:cstheme="minorHAnsi"/>
        </w:rPr>
        <w:t>. Leiden: KITLV Press, hlm. 200.</w:t>
      </w:r>
    </w:p>
  </w:footnote>
  <w:footnote w:id="19">
    <w:p w14:paraId="5DE3996B"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Heng, D. (2018). </w:t>
      </w:r>
      <w:r w:rsidRPr="00FF634D">
        <w:rPr>
          <w:rFonts w:ascii="Garamond" w:hAnsi="Garamond" w:cstheme="minorHAnsi"/>
          <w:i/>
          <w:iCs/>
        </w:rPr>
        <w:t>Sino–Malay Trade and Diplomacy from the Tenth Through the Fourteenth Century</w:t>
      </w:r>
      <w:r w:rsidRPr="00FF634D">
        <w:rPr>
          <w:rFonts w:ascii="Garamond" w:hAnsi="Garamond" w:cstheme="minorHAnsi"/>
        </w:rPr>
        <w:t>. Athens: Ohio University Press, hlm. 78.</w:t>
      </w:r>
    </w:p>
  </w:footnote>
  <w:footnote w:id="20">
    <w:p w14:paraId="7F81875E"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Winstedt, R. O. (1982). </w:t>
      </w:r>
      <w:r w:rsidRPr="00FF634D">
        <w:rPr>
          <w:rFonts w:ascii="Garamond" w:hAnsi="Garamond" w:cstheme="minorHAnsi"/>
          <w:i/>
          <w:iCs/>
        </w:rPr>
        <w:t>The Malays: A Cultural History</w:t>
      </w:r>
      <w:r w:rsidRPr="00FF634D">
        <w:rPr>
          <w:rFonts w:ascii="Garamond" w:hAnsi="Garamond" w:cstheme="minorHAnsi"/>
        </w:rPr>
        <w:t>. Singapore: Graham Brash, hlm. 45.</w:t>
      </w:r>
    </w:p>
  </w:footnote>
  <w:footnote w:id="21">
    <w:p w14:paraId="273317C3"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Effendi, T. (2015). </w:t>
      </w:r>
      <w:r w:rsidRPr="00FF634D">
        <w:rPr>
          <w:rFonts w:ascii="Garamond" w:hAnsi="Garamond" w:cstheme="minorHAnsi"/>
          <w:i/>
          <w:iCs/>
        </w:rPr>
        <w:t>Sejarah Kesultanan Indragiri</w:t>
      </w:r>
      <w:r w:rsidRPr="00FF634D">
        <w:rPr>
          <w:rFonts w:ascii="Garamond" w:hAnsi="Garamond" w:cstheme="minorHAnsi"/>
        </w:rPr>
        <w:t>. Tembilahan: Dinas Pendidikan dan Kebudayaan Inhil, hlm. 28.</w:t>
      </w:r>
    </w:p>
  </w:footnote>
  <w:footnote w:id="22">
    <w:p w14:paraId="6E235BFE"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Yatim, O. M. (1998). </w:t>
      </w:r>
      <w:r w:rsidRPr="00FF634D">
        <w:rPr>
          <w:rFonts w:ascii="Garamond" w:hAnsi="Garamond" w:cstheme="minorHAnsi"/>
          <w:i/>
          <w:iCs/>
        </w:rPr>
        <w:t>Sejarah Melayu</w:t>
      </w:r>
      <w:r w:rsidRPr="00FF634D">
        <w:rPr>
          <w:rFonts w:ascii="Garamond" w:hAnsi="Garamond" w:cstheme="minorHAnsi"/>
        </w:rPr>
        <w:t>. Kuala Lumpur: Dewan Bahasa dan Pustaka, hlm. 90.</w:t>
      </w:r>
    </w:p>
  </w:footnote>
  <w:footnote w:id="23">
    <w:p w14:paraId="5D8D1C67" w14:textId="77777777" w:rsidR="00FF634D" w:rsidRPr="00FF634D" w:rsidRDefault="00FF634D" w:rsidP="00FF634D">
      <w:pPr>
        <w:pStyle w:val="FootnoteText"/>
        <w:ind w:firstLine="720"/>
        <w:jc w:val="both"/>
        <w:rPr>
          <w:rFonts w:ascii="Garamond" w:hAnsi="Garamond" w:cstheme="minorHAnsi"/>
          <w:lang w:val="id-ID"/>
        </w:rPr>
      </w:pPr>
      <w:r w:rsidRPr="00FF634D">
        <w:rPr>
          <w:rStyle w:val="FootnoteReference"/>
          <w:rFonts w:ascii="Garamond" w:hAnsi="Garamond" w:cstheme="minorHAnsi"/>
        </w:rPr>
        <w:footnoteRef/>
      </w:r>
      <w:r w:rsidRPr="00FF634D">
        <w:rPr>
          <w:rFonts w:ascii="Garamond" w:hAnsi="Garamond" w:cstheme="minorHAnsi"/>
        </w:rPr>
        <w:t xml:space="preserve"> Suryadi. (2014). </w:t>
      </w:r>
      <w:r w:rsidRPr="00FF634D">
        <w:rPr>
          <w:rFonts w:ascii="Garamond" w:hAnsi="Garamond" w:cstheme="minorHAnsi"/>
          <w:i/>
          <w:iCs/>
        </w:rPr>
        <w:t>Sejarah dan Budaya Melayu Riau</w:t>
      </w:r>
      <w:r w:rsidRPr="00FF634D">
        <w:rPr>
          <w:rFonts w:ascii="Garamond" w:hAnsi="Garamond" w:cstheme="minorHAnsi"/>
        </w:rPr>
        <w:t>. Pekanbaru: Unri Press, hlm. 120.</w:t>
      </w:r>
    </w:p>
  </w:footnote>
  <w:footnote w:id="24">
    <w:p w14:paraId="09878273"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Zainuddin, H. M. (2003). </w:t>
      </w:r>
      <w:r w:rsidRPr="00FF634D">
        <w:rPr>
          <w:rFonts w:ascii="Garamond" w:hAnsi="Garamond"/>
          <w:i/>
          <w:iCs/>
        </w:rPr>
        <w:t>Melayu Riau: Sejarah dan Budaya</w:t>
      </w:r>
      <w:r w:rsidRPr="00FF634D">
        <w:rPr>
          <w:rFonts w:ascii="Garamond" w:hAnsi="Garamond"/>
        </w:rPr>
        <w:t>. Pekanbaru: Penerbit Alaf Riau, hlm. 145.</w:t>
      </w:r>
    </w:p>
  </w:footnote>
  <w:footnote w:id="25">
    <w:p w14:paraId="2EA41FE3"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Zainuddin, H. M. (2003). </w:t>
      </w:r>
      <w:r w:rsidRPr="00FF634D">
        <w:rPr>
          <w:rFonts w:ascii="Garamond" w:hAnsi="Garamond"/>
          <w:i/>
          <w:iCs/>
        </w:rPr>
        <w:t>Melayu Riau: Sejarah dan Budaya</w:t>
      </w:r>
      <w:r w:rsidRPr="00FF634D">
        <w:rPr>
          <w:rFonts w:ascii="Garamond" w:hAnsi="Garamond"/>
        </w:rPr>
        <w:t>. Pekanbaru: Penerbit Alaf Riau, hlm. 167.</w:t>
      </w:r>
    </w:p>
  </w:footnote>
  <w:footnote w:id="26">
    <w:p w14:paraId="69682473"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Riddell, P. G. (2017). </w:t>
      </w:r>
      <w:r w:rsidRPr="00FF634D">
        <w:rPr>
          <w:rFonts w:ascii="Garamond" w:hAnsi="Garamond"/>
          <w:i/>
          <w:iCs/>
        </w:rPr>
        <w:t>Malay Court Religion, Culture and Language: Interpreting the Qur</w:t>
      </w:r>
      <w:r w:rsidRPr="00FF634D">
        <w:rPr>
          <w:rFonts w:ascii="Times New Roman" w:hAnsi="Times New Roman" w:cs="Times New Roman"/>
          <w:i/>
          <w:iCs/>
        </w:rPr>
        <w:t>ʾ</w:t>
      </w:r>
      <w:r w:rsidRPr="00FF634D">
        <w:rPr>
          <w:rFonts w:ascii="Garamond" w:hAnsi="Garamond"/>
          <w:i/>
          <w:iCs/>
        </w:rPr>
        <w:t>an in 17th Century Aceh</w:t>
      </w:r>
      <w:r w:rsidRPr="00FF634D">
        <w:rPr>
          <w:rFonts w:ascii="Garamond" w:hAnsi="Garamond"/>
        </w:rPr>
        <w:t>. Leiden: Brill, hlm. 203.</w:t>
      </w:r>
    </w:p>
  </w:footnote>
  <w:footnote w:id="27">
    <w:p w14:paraId="5B4B3993"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Hashim, M. Y. (2017). </w:t>
      </w:r>
      <w:r w:rsidRPr="00FF634D">
        <w:rPr>
          <w:rFonts w:ascii="Garamond" w:hAnsi="Garamond"/>
          <w:i/>
          <w:iCs/>
        </w:rPr>
        <w:t>Islam dan Budaya Melayu: Transformasi dan Kontinuitas</w:t>
      </w:r>
      <w:r w:rsidRPr="00FF634D">
        <w:rPr>
          <w:rFonts w:ascii="Garamond" w:hAnsi="Garamond"/>
        </w:rPr>
        <w:t>. Kuala Lumpur: Dewan Bahasa dan Pustaka, hlm. 88.</w:t>
      </w:r>
    </w:p>
  </w:footnote>
  <w:footnote w:id="28">
    <w:p w14:paraId="6FECA885"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Jamil, A. (2013). </w:t>
      </w:r>
      <w:r w:rsidRPr="00FF634D">
        <w:rPr>
          <w:rFonts w:ascii="Garamond" w:hAnsi="Garamond"/>
          <w:i/>
          <w:iCs/>
        </w:rPr>
        <w:t>Adat Bersendikan Syarak: Filsafat Hidup Orang Melayu</w:t>
      </w:r>
      <w:r w:rsidRPr="00FF634D">
        <w:rPr>
          <w:rFonts w:ascii="Garamond" w:hAnsi="Garamond"/>
        </w:rPr>
        <w:t>. Pekanbaru: Al-Mujtahadah Press, hlm. 72.</w:t>
      </w:r>
    </w:p>
  </w:footnote>
  <w:footnote w:id="29">
    <w:p w14:paraId="6509FAA3"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Jamil, A. (2013). </w:t>
      </w:r>
      <w:r w:rsidRPr="00FF634D">
        <w:rPr>
          <w:rFonts w:ascii="Garamond" w:hAnsi="Garamond"/>
          <w:i/>
          <w:iCs/>
        </w:rPr>
        <w:t>Adat Bersendikan Syarak: Filsafat Hidup Orang Melayu</w:t>
      </w:r>
      <w:r w:rsidRPr="00FF634D">
        <w:rPr>
          <w:rFonts w:ascii="Garamond" w:hAnsi="Garamond"/>
        </w:rPr>
        <w:t>. Pekanbaru: Al-Mujtahadah Press, hlm. 75.</w:t>
      </w:r>
    </w:p>
  </w:footnote>
  <w:footnote w:id="30">
    <w:p w14:paraId="4AE13706"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Effendi, T. (2015). </w:t>
      </w:r>
      <w:r w:rsidRPr="00FF634D">
        <w:rPr>
          <w:rFonts w:ascii="Garamond" w:hAnsi="Garamond"/>
          <w:i/>
          <w:iCs/>
        </w:rPr>
        <w:t>Sejarah Kesultanan Indragiri</w:t>
      </w:r>
      <w:r w:rsidRPr="00FF634D">
        <w:rPr>
          <w:rFonts w:ascii="Garamond" w:hAnsi="Garamond"/>
        </w:rPr>
        <w:t>. Tembilahan: Dinas Pendidikan dan Kebudayaan Inhil, hlm. 50.</w:t>
      </w:r>
    </w:p>
  </w:footnote>
  <w:footnote w:id="31">
    <w:p w14:paraId="3D08CC07"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Effendi, T. (2015). </w:t>
      </w:r>
      <w:r w:rsidRPr="00FF634D">
        <w:rPr>
          <w:rFonts w:ascii="Garamond" w:hAnsi="Garamond"/>
          <w:i/>
          <w:iCs/>
        </w:rPr>
        <w:t>Sejarah Kesultanan Indragiri</w:t>
      </w:r>
      <w:r w:rsidRPr="00FF634D">
        <w:rPr>
          <w:rFonts w:ascii="Garamond" w:hAnsi="Garamond"/>
        </w:rPr>
        <w:t>. Tembilahan: Dinas Pendidikan dan Kebudayaan Inhil, hlm. 55.</w:t>
      </w:r>
    </w:p>
  </w:footnote>
  <w:footnote w:id="32">
    <w:p w14:paraId="15880322"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Gallop, A. T. (2019). </w:t>
      </w:r>
      <w:r w:rsidRPr="00FF634D">
        <w:rPr>
          <w:rFonts w:ascii="Garamond" w:hAnsi="Garamond"/>
          <w:i/>
          <w:iCs/>
        </w:rPr>
        <w:t>The Legacy of the Malay Letter</w:t>
      </w:r>
      <w:r w:rsidRPr="00FF634D">
        <w:rPr>
          <w:rFonts w:ascii="Garamond" w:hAnsi="Garamond"/>
        </w:rPr>
        <w:t>. London: British Library, hlm. 110.</w:t>
      </w:r>
    </w:p>
  </w:footnote>
  <w:footnote w:id="33">
    <w:p w14:paraId="1DECF9FC"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Mulyadi, S. W. (2011). </w:t>
      </w:r>
      <w:r w:rsidRPr="00FF634D">
        <w:rPr>
          <w:rFonts w:ascii="Garamond" w:hAnsi="Garamond"/>
          <w:i/>
          <w:iCs/>
        </w:rPr>
        <w:t>Hikayat Indragiri: Suntingan Teks dan Analisis Struktur</w:t>
      </w:r>
      <w:r w:rsidRPr="00FF634D">
        <w:rPr>
          <w:rFonts w:ascii="Garamond" w:hAnsi="Garamond"/>
        </w:rPr>
        <w:t>. Depok: Universitas Indonesia Press, hlm. 60.</w:t>
      </w:r>
    </w:p>
  </w:footnote>
  <w:footnote w:id="34">
    <w:p w14:paraId="273EE8BA"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Hashim, M. Y. (2017). </w:t>
      </w:r>
      <w:r w:rsidRPr="00FF634D">
        <w:rPr>
          <w:rFonts w:ascii="Garamond" w:hAnsi="Garamond"/>
          <w:i/>
          <w:iCs/>
        </w:rPr>
        <w:t>Islam dan Budaya Melayu: Transformasi dan Kontinuitas</w:t>
      </w:r>
      <w:r w:rsidRPr="00FF634D">
        <w:rPr>
          <w:rFonts w:ascii="Garamond" w:hAnsi="Garamond"/>
        </w:rPr>
        <w:t>. Kuala Lumpur: Dewan Bahasa dan Pustaka, hlm. 134.</w:t>
      </w:r>
    </w:p>
  </w:footnote>
  <w:footnote w:id="35">
    <w:p w14:paraId="3372F98B"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Zainuddin, H. M. (2003). </w:t>
      </w:r>
      <w:r w:rsidRPr="00FF634D">
        <w:rPr>
          <w:rFonts w:ascii="Garamond" w:hAnsi="Garamond"/>
          <w:i/>
          <w:iCs/>
        </w:rPr>
        <w:t>Melayu Riau: Sejarah dan Budaya</w:t>
      </w:r>
      <w:r w:rsidRPr="00FF634D">
        <w:rPr>
          <w:rFonts w:ascii="Garamond" w:hAnsi="Garamond"/>
        </w:rPr>
        <w:t>. Pekanbaru: Penerbit Alaf Riau, hlm. 189.</w:t>
      </w:r>
    </w:p>
  </w:footnote>
  <w:footnote w:id="36">
    <w:p w14:paraId="5CDC1865"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Riddell, P. G. (2017). </w:t>
      </w:r>
      <w:r w:rsidRPr="00FF634D">
        <w:rPr>
          <w:rFonts w:ascii="Garamond" w:hAnsi="Garamond"/>
          <w:i/>
          <w:iCs/>
        </w:rPr>
        <w:t>Malay Court Religion, Culture and Language: Interpreting the Qur</w:t>
      </w:r>
      <w:r w:rsidRPr="00FF634D">
        <w:rPr>
          <w:rFonts w:ascii="Times New Roman" w:hAnsi="Times New Roman" w:cs="Times New Roman"/>
          <w:i/>
          <w:iCs/>
        </w:rPr>
        <w:t>ʾ</w:t>
      </w:r>
      <w:r w:rsidRPr="00FF634D">
        <w:rPr>
          <w:rFonts w:ascii="Garamond" w:hAnsi="Garamond"/>
          <w:i/>
          <w:iCs/>
        </w:rPr>
        <w:t>an in 17th Century Aceh</w:t>
      </w:r>
      <w:r w:rsidRPr="00FF634D">
        <w:rPr>
          <w:rFonts w:ascii="Garamond" w:hAnsi="Garamond"/>
        </w:rPr>
        <w:t>. Leiden: Brill, hlm. 215.</w:t>
      </w:r>
    </w:p>
  </w:footnote>
  <w:footnote w:id="37">
    <w:p w14:paraId="02A0BECD" w14:textId="77777777" w:rsidR="00FF634D" w:rsidRPr="00FF634D" w:rsidRDefault="00FF634D" w:rsidP="00FF634D">
      <w:pPr>
        <w:pStyle w:val="FootnoteText"/>
        <w:ind w:firstLine="720"/>
        <w:jc w:val="both"/>
        <w:rPr>
          <w:rFonts w:ascii="Garamond" w:hAnsi="Garamond"/>
          <w:lang w:val="en-US"/>
        </w:rPr>
      </w:pPr>
      <w:r w:rsidRPr="00FF634D">
        <w:rPr>
          <w:rStyle w:val="FootnoteReference"/>
          <w:rFonts w:ascii="Garamond" w:hAnsi="Garamond"/>
        </w:rPr>
        <w:footnoteRef/>
      </w:r>
      <w:r w:rsidRPr="00FF634D">
        <w:rPr>
          <w:rFonts w:ascii="Garamond" w:hAnsi="Garamond"/>
        </w:rPr>
        <w:t xml:space="preserve"> </w:t>
      </w:r>
      <w:r w:rsidRPr="00FF634D">
        <w:rPr>
          <w:rFonts w:ascii="Garamond" w:hAnsi="Garamond"/>
          <w:lang w:val="en-US"/>
        </w:rPr>
        <w:t> Noor, F. A. (2012). *The Discursive Construction of Southeast Asia in 19th Century Colonial-Capitalist Discourse*. Amsterdam: Amsterdam University Press, hlm. 156.</w:t>
      </w:r>
    </w:p>
  </w:footnote>
  <w:footnote w:id="38">
    <w:p w14:paraId="6BC4655C"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Effendi, T. (2015). </w:t>
      </w:r>
      <w:r w:rsidRPr="00FF634D">
        <w:rPr>
          <w:rFonts w:ascii="Garamond" w:hAnsi="Garamond"/>
          <w:i/>
          <w:iCs/>
        </w:rPr>
        <w:t>Sejarah Kesultanan Indragiri</w:t>
      </w:r>
      <w:r w:rsidRPr="00FF634D">
        <w:rPr>
          <w:rFonts w:ascii="Garamond" w:hAnsi="Garamond"/>
        </w:rPr>
        <w:t>. Tembilahan: Dinas Pendidikan dan Kebudayaan Inhil, hlm. 80.</w:t>
      </w:r>
    </w:p>
  </w:footnote>
  <w:footnote w:id="39">
    <w:p w14:paraId="68715EAD"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Barnard, T. P. (2004). </w:t>
      </w:r>
      <w:r w:rsidRPr="00FF634D">
        <w:rPr>
          <w:rFonts w:ascii="Garamond" w:hAnsi="Garamond"/>
          <w:i/>
          <w:iCs/>
        </w:rPr>
        <w:t>Contesting Malayness: Malay Identity Across Boundaries</w:t>
      </w:r>
      <w:r w:rsidRPr="00FF634D">
        <w:rPr>
          <w:rFonts w:ascii="Garamond" w:hAnsi="Garamond"/>
        </w:rPr>
        <w:t xml:space="preserve">. Singapore: NUS Press, hlm. 178. </w:t>
      </w:r>
    </w:p>
  </w:footnote>
  <w:footnote w:id="40">
    <w:p w14:paraId="604A051D"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Suryadi. (2014). </w:t>
      </w:r>
      <w:r w:rsidRPr="00FF634D">
        <w:rPr>
          <w:rFonts w:ascii="Garamond" w:hAnsi="Garamond"/>
          <w:i/>
          <w:iCs/>
        </w:rPr>
        <w:t>Sejarah dan Budaya Melayu Riau</w:t>
      </w:r>
      <w:r w:rsidRPr="00FF634D">
        <w:rPr>
          <w:rFonts w:ascii="Garamond" w:hAnsi="Garamond"/>
        </w:rPr>
        <w:t xml:space="preserve">. Pekanbaru: Unri Press, hlm. 200. </w:t>
      </w:r>
    </w:p>
  </w:footnote>
  <w:footnote w:id="41">
    <w:p w14:paraId="12B30374"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Teeuw, A. (1994). </w:t>
      </w:r>
      <w:r w:rsidRPr="00FF634D">
        <w:rPr>
          <w:rFonts w:ascii="Garamond" w:hAnsi="Garamond"/>
          <w:i/>
          <w:iCs/>
        </w:rPr>
        <w:t>History of Malay Literature</w:t>
      </w:r>
      <w:r w:rsidRPr="00FF634D">
        <w:rPr>
          <w:rFonts w:ascii="Garamond" w:hAnsi="Garamond"/>
        </w:rPr>
        <w:t>. Leiden: KITLV Press, hlm. 189.</w:t>
      </w:r>
    </w:p>
  </w:footnote>
  <w:footnote w:id="42">
    <w:p w14:paraId="78982B6A"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Mulyadi, S. W. (2011). </w:t>
      </w:r>
      <w:r w:rsidRPr="00FF634D">
        <w:rPr>
          <w:rFonts w:ascii="Garamond" w:hAnsi="Garamond"/>
          <w:i/>
          <w:iCs/>
        </w:rPr>
        <w:t>Hikayat Indragiri: Suntingan Teks dan Analisis Struktur</w:t>
      </w:r>
      <w:r w:rsidRPr="00FF634D">
        <w:rPr>
          <w:rFonts w:ascii="Garamond" w:hAnsi="Garamond"/>
        </w:rPr>
        <w:t>. Depok: Universitas Indonesia Press, hlm. 95.</w:t>
      </w:r>
    </w:p>
  </w:footnote>
  <w:footnote w:id="43">
    <w:p w14:paraId="00C67D25"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Wawancara dengan Guru Silat H. Anwar, 20 Februari 2024.</w:t>
      </w:r>
    </w:p>
  </w:footnote>
  <w:footnote w:id="44">
    <w:p w14:paraId="59BB9CD4"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Winstedt, R. O. (1982). </w:t>
      </w:r>
      <w:r w:rsidRPr="00FF634D">
        <w:rPr>
          <w:rFonts w:ascii="Garamond" w:hAnsi="Garamond"/>
          <w:i/>
          <w:iCs/>
        </w:rPr>
        <w:t>The Malays: A Cultural History</w:t>
      </w:r>
      <w:r w:rsidRPr="00FF634D">
        <w:rPr>
          <w:rFonts w:ascii="Garamond" w:hAnsi="Garamond"/>
        </w:rPr>
        <w:t>. Singapore: Graham Brash, hlm. 210.</w:t>
      </w:r>
    </w:p>
  </w:footnote>
  <w:footnote w:id="45">
    <w:p w14:paraId="0D7C4730"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Zainuddin, H. M. (2003). </w:t>
      </w:r>
      <w:r w:rsidRPr="00FF634D">
        <w:rPr>
          <w:rFonts w:ascii="Garamond" w:hAnsi="Garamond"/>
          <w:i/>
          <w:iCs/>
        </w:rPr>
        <w:t>Melayu Riau: Sejarah dan Budaya</w:t>
      </w:r>
      <w:r w:rsidRPr="00FF634D">
        <w:rPr>
          <w:rFonts w:ascii="Garamond" w:hAnsi="Garamond"/>
        </w:rPr>
        <w:t>. Pekanbaru: Penerbit Alaf Riau, hlm. 210.</w:t>
      </w:r>
    </w:p>
  </w:footnote>
  <w:footnote w:id="46">
    <w:p w14:paraId="73C3B707"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t>
      </w:r>
      <w:r w:rsidRPr="00FF634D">
        <w:rPr>
          <w:rFonts w:ascii="Times New Roman" w:hAnsi="Times New Roman" w:cs="Times New Roman"/>
        </w:rPr>
        <w:t>⁶</w:t>
      </w:r>
      <w:r w:rsidRPr="00FF634D">
        <w:rPr>
          <w:rFonts w:ascii="Garamond" w:hAnsi="Garamond"/>
        </w:rPr>
        <w:t xml:space="preserve"> Noor, F. A. (2012). *The Discursive Construction of Southeast Asia in 19th Century Colonial-Capitalist Discourse*. Amsterdam: Amsterdam University Press, hlm. 189.</w:t>
      </w:r>
    </w:p>
  </w:footnote>
  <w:footnote w:id="47">
    <w:p w14:paraId="36518965"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Lombard, D. (1996). </w:t>
      </w:r>
      <w:r w:rsidRPr="00FF634D">
        <w:rPr>
          <w:rFonts w:ascii="Garamond" w:hAnsi="Garamond"/>
          <w:i/>
          <w:iCs/>
        </w:rPr>
        <w:t>Nusa Jawa: Silang Budaya</w:t>
      </w:r>
      <w:r w:rsidRPr="00FF634D">
        <w:rPr>
          <w:rFonts w:ascii="Garamond" w:hAnsi="Garamond"/>
        </w:rPr>
        <w:t>. Jakarta: Gramedia, hlm. 278.</w:t>
      </w:r>
    </w:p>
  </w:footnote>
  <w:footnote w:id="48">
    <w:p w14:paraId="7110B949"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Suryadi. (2014). </w:t>
      </w:r>
      <w:r w:rsidRPr="00FF634D">
        <w:rPr>
          <w:rFonts w:ascii="Garamond" w:hAnsi="Garamond"/>
          <w:i/>
          <w:iCs/>
        </w:rPr>
        <w:t>Sejarah dan Budaya Melayu Riau</w:t>
      </w:r>
      <w:r w:rsidRPr="00FF634D">
        <w:rPr>
          <w:rFonts w:ascii="Garamond" w:hAnsi="Garamond"/>
        </w:rPr>
        <w:t>. Pekanbaru: Unri Press, hlm. 245.</w:t>
      </w:r>
    </w:p>
  </w:footnote>
  <w:footnote w:id="49">
    <w:p w14:paraId="29A11E4E"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Wawancara dengan Bapak Rizal, Budayawan Inhil, 25 Februari 2024.</w:t>
      </w:r>
    </w:p>
  </w:footnote>
  <w:footnote w:id="50">
    <w:p w14:paraId="251468AF"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Zainuddin, H. M. (2003). </w:t>
      </w:r>
      <w:r w:rsidRPr="00FF634D">
        <w:rPr>
          <w:rFonts w:ascii="Garamond" w:hAnsi="Garamond"/>
          <w:i/>
          <w:iCs/>
        </w:rPr>
        <w:t>Melayu Riau: Sejarah dan Budaya</w:t>
      </w:r>
      <w:r w:rsidRPr="00FF634D">
        <w:rPr>
          <w:rFonts w:ascii="Garamond" w:hAnsi="Garamond"/>
        </w:rPr>
        <w:t>. Pekanbaru: Penerbit Alaf Riau, hlm. 230.</w:t>
      </w:r>
    </w:p>
  </w:footnote>
  <w:footnote w:id="51">
    <w:p w14:paraId="1B00CCF4"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Teeuw, A. (1994). </w:t>
      </w:r>
      <w:r w:rsidRPr="00FF634D">
        <w:rPr>
          <w:rFonts w:ascii="Garamond" w:hAnsi="Garamond"/>
          <w:i/>
          <w:iCs/>
        </w:rPr>
        <w:t>History of Malay Literature</w:t>
      </w:r>
      <w:r w:rsidRPr="00FF634D">
        <w:rPr>
          <w:rFonts w:ascii="Garamond" w:hAnsi="Garamond"/>
        </w:rPr>
        <w:t>. Leiden: KITLV Press, hlm. 234.</w:t>
      </w:r>
    </w:p>
  </w:footnote>
  <w:footnote w:id="52">
    <w:p w14:paraId="08C37C25"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Suryadi. (2014). </w:t>
      </w:r>
      <w:r w:rsidRPr="00FF634D">
        <w:rPr>
          <w:rFonts w:ascii="Garamond" w:hAnsi="Garamond"/>
          <w:i/>
          <w:iCs/>
        </w:rPr>
        <w:t>Sejarah dan Budaya Melayu Riau</w:t>
      </w:r>
      <w:r w:rsidRPr="00FF634D">
        <w:rPr>
          <w:rFonts w:ascii="Garamond" w:hAnsi="Garamond"/>
        </w:rPr>
        <w:t>. Pekanbaru: Unri Press, hlm. 267.</w:t>
      </w:r>
    </w:p>
  </w:footnote>
  <w:footnote w:id="53">
    <w:p w14:paraId="4E7E4034"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Effendi, T. (2015). </w:t>
      </w:r>
      <w:r w:rsidRPr="00FF634D">
        <w:rPr>
          <w:rFonts w:ascii="Garamond" w:hAnsi="Garamond"/>
          <w:i/>
          <w:iCs/>
        </w:rPr>
        <w:t>Sejarah Kesultanan Indragiri</w:t>
      </w:r>
      <w:r w:rsidRPr="00FF634D">
        <w:rPr>
          <w:rFonts w:ascii="Garamond" w:hAnsi="Garamond"/>
        </w:rPr>
        <w:t>. Tembilahan: Dinas Pendidikan dan Kebudayaan Inhil, hlm. 150.</w:t>
      </w:r>
    </w:p>
  </w:footnote>
  <w:footnote w:id="54">
    <w:p w14:paraId="5C71DD89"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Wawancara dengan Kepala Dinas Kebudayaan Inhil, 1 Maret 2024.</w:t>
      </w:r>
    </w:p>
  </w:footnote>
  <w:footnote w:id="55">
    <w:p w14:paraId="174CB806"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Laporan Pengabdian UNISI, 2023.</w:t>
      </w:r>
    </w:p>
  </w:footnote>
  <w:footnote w:id="56">
    <w:p w14:paraId="753C7D31"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Noor, F. A. (2012). *The Discursive Construction of Southeast Asia in 19th Century Colonial-Capitalist Discourse*. Amsterdam: Amsterdam University Press, hlm. 278.</w:t>
      </w:r>
    </w:p>
  </w:footnote>
  <w:footnote w:id="57">
    <w:p w14:paraId="2C9BB7CA"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Wawancara dengan Pemuda Inhil, 5 Maret 2024.</w:t>
      </w:r>
    </w:p>
  </w:footnote>
  <w:footnote w:id="58">
    <w:p w14:paraId="6CE684F1"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Laporan Lingkungan Hidup Inhil, 2022.</w:t>
      </w:r>
    </w:p>
  </w:footnote>
  <w:footnote w:id="59">
    <w:p w14:paraId="6286F31B"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Abdul Rahman, M. F. (2020). </w:t>
      </w:r>
      <w:r w:rsidRPr="00FF634D">
        <w:rPr>
          <w:rFonts w:ascii="Garamond" w:hAnsi="Garamond"/>
          <w:i/>
          <w:iCs/>
        </w:rPr>
        <w:t>Naskah Melayu Indragiri: Kajian Filologis dan Historis</w:t>
      </w:r>
      <w:r w:rsidRPr="00FF634D">
        <w:rPr>
          <w:rFonts w:ascii="Garamond" w:hAnsi="Garamond"/>
        </w:rPr>
        <w:t>. Pekanbaru: Unilak Press, hlm. 145.</w:t>
      </w:r>
    </w:p>
  </w:footnote>
  <w:footnote w:id="60">
    <w:p w14:paraId="6E293FD4" w14:textId="77777777" w:rsidR="00FF634D" w:rsidRPr="00FF634D" w:rsidRDefault="00FF634D" w:rsidP="00FF634D">
      <w:pPr>
        <w:pStyle w:val="FootnoteText"/>
        <w:ind w:firstLine="720"/>
        <w:jc w:val="both"/>
        <w:rPr>
          <w:rFonts w:ascii="Garamond" w:hAnsi="Garamond"/>
          <w:lang w:val="id-ID"/>
        </w:rPr>
      </w:pPr>
      <w:r w:rsidRPr="00FF634D">
        <w:rPr>
          <w:rStyle w:val="FootnoteReference"/>
          <w:rFonts w:ascii="Garamond" w:hAnsi="Garamond"/>
        </w:rPr>
        <w:footnoteRef/>
      </w:r>
      <w:r w:rsidRPr="00FF634D">
        <w:rPr>
          <w:rFonts w:ascii="Garamond" w:hAnsi="Garamond"/>
        </w:rPr>
        <w:t xml:space="preserve"> Jamil, A. (2013). </w:t>
      </w:r>
      <w:r w:rsidRPr="00FF634D">
        <w:rPr>
          <w:rFonts w:ascii="Garamond" w:hAnsi="Garamond"/>
          <w:i/>
          <w:iCs/>
        </w:rPr>
        <w:t>Adat Bersendikan Syarak: Filsafat Hidup Orang Melayu</w:t>
      </w:r>
      <w:r w:rsidRPr="00FF634D">
        <w:rPr>
          <w:rFonts w:ascii="Garamond" w:hAnsi="Garamond"/>
        </w:rPr>
        <w:t>. Pekanbaru: Al-Mujtahadah Press, hlm. 189.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83EB5" w14:textId="01A24248" w:rsidR="00F05D6C" w:rsidRPr="00E00797" w:rsidRDefault="00E00797" w:rsidP="00E00797">
    <w:pPr>
      <w:pStyle w:val="Header"/>
      <w:tabs>
        <w:tab w:val="clear" w:pos="9026"/>
      </w:tabs>
      <w:rPr>
        <w:rFonts w:ascii="Garamond" w:hAnsi="Garamond"/>
        <w:b/>
      </w:rPr>
    </w:pPr>
    <w:r w:rsidRPr="00E00797">
      <w:rPr>
        <w:rFonts w:ascii="Garamond" w:hAnsi="Garamond"/>
        <w:b/>
      </w:rPr>
      <w:t xml:space="preserve">Jurnal Pelita Studi Islam Dan Humaniora                                      </w:t>
    </w:r>
  </w:p>
  <w:p w14:paraId="1342B51E" w14:textId="52F1E87A" w:rsidR="00E00797" w:rsidRPr="00E00797" w:rsidRDefault="00334D2D" w:rsidP="004A7EA7">
    <w:pPr>
      <w:pStyle w:val="Header"/>
      <w:pBdr>
        <w:bottom w:val="double" w:sz="6" w:space="1" w:color="auto"/>
      </w:pBdr>
      <w:tabs>
        <w:tab w:val="clear" w:pos="4513"/>
        <w:tab w:val="center" w:pos="9026"/>
      </w:tabs>
      <w:rPr>
        <w:rFonts w:ascii="Garamond" w:hAnsi="Garamond"/>
        <w:b/>
      </w:rPr>
    </w:pPr>
    <w:hyperlink r:id="rId1" w:history="1">
      <w:r w:rsidR="00E00797" w:rsidRPr="00857290">
        <w:rPr>
          <w:rStyle w:val="Hyperlink"/>
          <w:rFonts w:ascii="Garamond" w:hAnsi="Garamond"/>
          <w:b/>
          <w:u w:val="none"/>
        </w:rPr>
        <w:t>https://jurnalpelitanegribelantaraya.com/index.php/nipah</w:t>
      </w:r>
    </w:hyperlink>
    <w:r w:rsidR="00E00797" w:rsidRPr="00E00797">
      <w:rPr>
        <w:rFonts w:ascii="Garamond" w:hAnsi="Garamond"/>
        <w:b/>
      </w:rPr>
      <w:t xml:space="preserve">                       ISSN (Online): xxx-xxx</w:t>
    </w:r>
  </w:p>
  <w:p w14:paraId="203DC369" w14:textId="72BEAFFB" w:rsidR="00E00797" w:rsidRPr="00E00797" w:rsidRDefault="002D665F" w:rsidP="004A7EA7">
    <w:pPr>
      <w:pStyle w:val="Header"/>
      <w:pBdr>
        <w:bottom w:val="double" w:sz="6" w:space="1" w:color="auto"/>
      </w:pBdr>
      <w:tabs>
        <w:tab w:val="clear" w:pos="4513"/>
        <w:tab w:val="center" w:pos="9026"/>
      </w:tabs>
      <w:rPr>
        <w:rFonts w:ascii="Garamond" w:hAnsi="Garamond"/>
        <w:b/>
      </w:rPr>
    </w:pPr>
    <w:r w:rsidRPr="00E00797">
      <w:rPr>
        <w:rFonts w:ascii="Garamond" w:hAnsi="Garamond"/>
        <w:b/>
      </w:rPr>
      <w:t xml:space="preserve">Volume </w:t>
    </w:r>
    <w:r w:rsidR="00FF634D">
      <w:rPr>
        <w:rFonts w:ascii="Garamond" w:hAnsi="Garamond"/>
        <w:b/>
      </w:rPr>
      <w:t>2</w:t>
    </w:r>
    <w:r w:rsidRPr="00E00797">
      <w:rPr>
        <w:rFonts w:ascii="Garamond" w:hAnsi="Garamond"/>
        <w:b/>
      </w:rPr>
      <w:t xml:space="preserve"> Nomor </w:t>
    </w:r>
    <w:r w:rsidR="00FF634D">
      <w:rPr>
        <w:rFonts w:ascii="Garamond" w:hAnsi="Garamond"/>
        <w:b/>
      </w:rPr>
      <w:t>1</w:t>
    </w:r>
    <w:r w:rsidR="002745D9" w:rsidRPr="00E00797">
      <w:rPr>
        <w:rFonts w:ascii="Garamond" w:hAnsi="Garamond"/>
        <w:b/>
      </w:rPr>
      <w:t xml:space="preserve"> </w:t>
    </w:r>
    <w:r w:rsidRPr="00E00797">
      <w:rPr>
        <w:rFonts w:ascii="Garamond" w:hAnsi="Garamond"/>
        <w:b/>
      </w:rPr>
      <w:t>tahun 202</w:t>
    </w:r>
    <w:r w:rsidR="00FF634D">
      <w:rPr>
        <w:rFonts w:ascii="Garamond" w:hAnsi="Garamond"/>
        <w:b/>
      </w:rPr>
      <w:t>6</w:t>
    </w:r>
  </w:p>
  <w:p w14:paraId="104CF2BB" w14:textId="2C9D0E63" w:rsidR="00E00797" w:rsidRPr="00D72819" w:rsidRDefault="002745D9" w:rsidP="004A7EA7">
    <w:pPr>
      <w:pStyle w:val="Header"/>
      <w:pBdr>
        <w:bottom w:val="double" w:sz="6" w:space="1" w:color="auto"/>
      </w:pBdr>
      <w:tabs>
        <w:tab w:val="clear" w:pos="4513"/>
        <w:tab w:val="center" w:pos="9026"/>
      </w:tabs>
      <w:rPr>
        <w:rFonts w:ascii="Goudy Old Style" w:hAnsi="Goudy Old Style"/>
        <w:b/>
      </w:rPr>
    </w:pPr>
    <w:r>
      <w:rPr>
        <w:rFonts w:ascii="Goudy Old Style" w:hAnsi="Goudy Old Style"/>
        <w:b/>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812"/>
    <w:rsid w:val="000A2EF3"/>
    <w:rsid w:val="001616CD"/>
    <w:rsid w:val="001877D3"/>
    <w:rsid w:val="001B06A8"/>
    <w:rsid w:val="001B69AA"/>
    <w:rsid w:val="00223A91"/>
    <w:rsid w:val="00254D9C"/>
    <w:rsid w:val="002745D9"/>
    <w:rsid w:val="0028273C"/>
    <w:rsid w:val="002D665F"/>
    <w:rsid w:val="00334D2D"/>
    <w:rsid w:val="00365078"/>
    <w:rsid w:val="003B11BC"/>
    <w:rsid w:val="003B1674"/>
    <w:rsid w:val="004A7EA7"/>
    <w:rsid w:val="00502080"/>
    <w:rsid w:val="005D583E"/>
    <w:rsid w:val="0066090A"/>
    <w:rsid w:val="006D37AD"/>
    <w:rsid w:val="00705BD4"/>
    <w:rsid w:val="00734C61"/>
    <w:rsid w:val="0074347D"/>
    <w:rsid w:val="00743F11"/>
    <w:rsid w:val="007966F7"/>
    <w:rsid w:val="008550C2"/>
    <w:rsid w:val="00857290"/>
    <w:rsid w:val="00A17E3A"/>
    <w:rsid w:val="00B43ACF"/>
    <w:rsid w:val="00C26BAB"/>
    <w:rsid w:val="00C71263"/>
    <w:rsid w:val="00D12183"/>
    <w:rsid w:val="00D5617E"/>
    <w:rsid w:val="00D72819"/>
    <w:rsid w:val="00DB4E44"/>
    <w:rsid w:val="00DC28B3"/>
    <w:rsid w:val="00DC6805"/>
    <w:rsid w:val="00DC7E01"/>
    <w:rsid w:val="00E00797"/>
    <w:rsid w:val="00E1365A"/>
    <w:rsid w:val="00E957EE"/>
    <w:rsid w:val="00EC7678"/>
    <w:rsid w:val="00EF5208"/>
    <w:rsid w:val="00F05D6C"/>
    <w:rsid w:val="00F40FAA"/>
    <w:rsid w:val="00F60084"/>
    <w:rsid w:val="00F80A22"/>
    <w:rsid w:val="00FB1812"/>
    <w:rsid w:val="00FF63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03F7D"/>
  <w15:chartTrackingRefBased/>
  <w15:docId w15:val="{CD73C6DB-601D-4ADE-A7B0-5E117807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34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D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D6C"/>
  </w:style>
  <w:style w:type="paragraph" w:styleId="Footer">
    <w:name w:val="footer"/>
    <w:basedOn w:val="Normal"/>
    <w:link w:val="FooterChar"/>
    <w:uiPriority w:val="99"/>
    <w:unhideWhenUsed/>
    <w:rsid w:val="00F05D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D6C"/>
  </w:style>
  <w:style w:type="table" w:styleId="TableGrid">
    <w:name w:val="Table Grid"/>
    <w:basedOn w:val="TableNormal"/>
    <w:uiPriority w:val="39"/>
    <w:rsid w:val="004A7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121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2183"/>
    <w:rPr>
      <w:sz w:val="20"/>
      <w:szCs w:val="20"/>
    </w:rPr>
  </w:style>
  <w:style w:type="character" w:styleId="FootnoteReference">
    <w:name w:val="footnote reference"/>
    <w:basedOn w:val="DefaultParagraphFont"/>
    <w:uiPriority w:val="99"/>
    <w:semiHidden/>
    <w:unhideWhenUsed/>
    <w:rsid w:val="00D12183"/>
    <w:rPr>
      <w:vertAlign w:val="superscript"/>
    </w:rPr>
  </w:style>
  <w:style w:type="character" w:styleId="Hyperlink">
    <w:name w:val="Hyperlink"/>
    <w:basedOn w:val="DefaultParagraphFont"/>
    <w:uiPriority w:val="99"/>
    <w:unhideWhenUsed/>
    <w:rsid w:val="00E00797"/>
    <w:rPr>
      <w:color w:val="0563C1" w:themeColor="hyperlink"/>
      <w:u w:val="single"/>
    </w:rPr>
  </w:style>
  <w:style w:type="character" w:styleId="UnresolvedMention">
    <w:name w:val="Unresolved Mention"/>
    <w:basedOn w:val="DefaultParagraphFont"/>
    <w:uiPriority w:val="99"/>
    <w:semiHidden/>
    <w:unhideWhenUsed/>
    <w:rsid w:val="00E00797"/>
    <w:rPr>
      <w:color w:val="605E5C"/>
      <w:shd w:val="clear" w:color="auto" w:fill="E1DFDD"/>
    </w:rPr>
  </w:style>
  <w:style w:type="character" w:styleId="Strong">
    <w:name w:val="Strong"/>
    <w:basedOn w:val="DefaultParagraphFont"/>
    <w:uiPriority w:val="22"/>
    <w:qFormat/>
    <w:rsid w:val="0074347D"/>
    <w:rPr>
      <w:b/>
      <w:bCs/>
    </w:rPr>
  </w:style>
  <w:style w:type="paragraph" w:customStyle="1" w:styleId="abstrak">
    <w:name w:val="abstrak"/>
    <w:basedOn w:val="BodyText"/>
    <w:qFormat/>
    <w:rsid w:val="0074347D"/>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74347D"/>
    <w:pPr>
      <w:spacing w:after="120"/>
    </w:pPr>
  </w:style>
  <w:style w:type="character" w:customStyle="1" w:styleId="BodyTextChar">
    <w:name w:val="Body Text Char"/>
    <w:basedOn w:val="DefaultParagraphFont"/>
    <w:link w:val="BodyText"/>
    <w:uiPriority w:val="99"/>
    <w:semiHidden/>
    <w:rsid w:val="0074347D"/>
  </w:style>
  <w:style w:type="paragraph" w:customStyle="1" w:styleId="Style13">
    <w:name w:val="Style13"/>
    <w:basedOn w:val="Normal"/>
    <w:link w:val="Style13Char"/>
    <w:qFormat/>
    <w:rsid w:val="00FF634D"/>
    <w:pPr>
      <w:spacing w:after="0" w:line="360" w:lineRule="auto"/>
      <w:ind w:firstLine="720"/>
      <w:jc w:val="both"/>
    </w:pPr>
    <w:rPr>
      <w:rFonts w:ascii="Times New Roman" w:hAnsi="Times New Roman" w:cs="Times New Roman"/>
      <w:bCs/>
    </w:rPr>
  </w:style>
  <w:style w:type="character" w:customStyle="1" w:styleId="Style13Char">
    <w:name w:val="Style13 Char"/>
    <w:basedOn w:val="DefaultParagraphFont"/>
    <w:link w:val="Style13"/>
    <w:rsid w:val="00FF634D"/>
    <w:rPr>
      <w:rFonts w:ascii="Times New Roman" w:hAnsi="Times New Roman" w:cs="Times New Roman"/>
      <w:bCs/>
    </w:rPr>
  </w:style>
  <w:style w:type="paragraph" w:customStyle="1" w:styleId="Style7">
    <w:name w:val="Style7"/>
    <w:basedOn w:val="Normal"/>
    <w:link w:val="Style7Char"/>
    <w:qFormat/>
    <w:rsid w:val="00FF634D"/>
    <w:pPr>
      <w:spacing w:after="0" w:line="360" w:lineRule="auto"/>
      <w:ind w:left="568" w:firstLine="152"/>
      <w:jc w:val="both"/>
    </w:pPr>
    <w:rPr>
      <w:rFonts w:ascii="Garamond" w:hAnsi="Garamond" w:cs="Times New Roman"/>
      <w:bCs/>
      <w:sz w:val="24"/>
      <w:szCs w:val="24"/>
    </w:rPr>
  </w:style>
  <w:style w:type="character" w:customStyle="1" w:styleId="Style7Char">
    <w:name w:val="Style7 Char"/>
    <w:basedOn w:val="DefaultParagraphFont"/>
    <w:link w:val="Style7"/>
    <w:rsid w:val="00FF634D"/>
    <w:rPr>
      <w:rFonts w:ascii="Garamond" w:hAnsi="Garamond"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jurnalpelitanegribelantaraya.com/index.php/nip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82047-97B9-402D-9BC6-75E59FEE6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9</Pages>
  <Words>2863</Words>
  <Characters>16320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27</cp:revision>
  <dcterms:created xsi:type="dcterms:W3CDTF">2024-05-08T12:26:00Z</dcterms:created>
  <dcterms:modified xsi:type="dcterms:W3CDTF">2026-01-27T08:37:00Z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f3d8aace-6bc7-31c7-936d-01620c54e9ab</vt:lpwstr>
  </property>
</Properties>
</file>